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DDE4" w14:textId="77777777" w:rsidR="00353139" w:rsidRDefault="00353139" w:rsidP="00D11B44">
      <w:pPr>
        <w:pStyle w:val="Title"/>
        <w:jc w:val="center"/>
      </w:pPr>
    </w:p>
    <w:p w14:paraId="08A42A61" w14:textId="77777777" w:rsidR="00643DB3" w:rsidRDefault="00643DB3" w:rsidP="00D11B44">
      <w:pPr>
        <w:jc w:val="center"/>
      </w:pPr>
    </w:p>
    <w:p w14:paraId="1CFA87B5" w14:textId="66A507AE" w:rsidR="00643DB3" w:rsidRDefault="00643DB3" w:rsidP="00D11B44">
      <w:pPr>
        <w:pStyle w:val="Title"/>
        <w:jc w:val="center"/>
        <w:rPr>
          <w:rFonts w:ascii="Arial" w:hAnsi="Arial" w:cs="Arial"/>
          <w:b/>
          <w:bCs/>
        </w:rPr>
      </w:pPr>
      <w:r w:rsidRPr="003559F4">
        <w:rPr>
          <w:rFonts w:ascii="Arial" w:hAnsi="Arial" w:cs="Arial"/>
          <w:b/>
          <w:bCs/>
        </w:rPr>
        <w:t xml:space="preserve">Laboratory </w:t>
      </w:r>
      <w:r w:rsidR="00895E42">
        <w:rPr>
          <w:rFonts w:ascii="Arial" w:hAnsi="Arial" w:cs="Arial"/>
          <w:b/>
          <w:bCs/>
        </w:rPr>
        <w:t>Bios</w:t>
      </w:r>
      <w:r w:rsidRPr="003559F4">
        <w:rPr>
          <w:rFonts w:ascii="Arial" w:hAnsi="Arial" w:cs="Arial"/>
          <w:b/>
          <w:bCs/>
        </w:rPr>
        <w:t>afety Manual</w:t>
      </w:r>
    </w:p>
    <w:p w14:paraId="43203B22" w14:textId="6A0BB348" w:rsidR="00416517" w:rsidRPr="00DE05B3" w:rsidRDefault="00416517" w:rsidP="00DE05B3">
      <w:pPr>
        <w:jc w:val="center"/>
      </w:pPr>
      <w:r w:rsidRPr="38A730F4">
        <w:rPr>
          <w:sz w:val="56"/>
          <w:szCs w:val="56"/>
        </w:rPr>
        <w:t>BSL-2</w:t>
      </w:r>
      <w:r w:rsidR="00895E42">
        <w:rPr>
          <w:sz w:val="56"/>
          <w:szCs w:val="56"/>
        </w:rPr>
        <w:t xml:space="preserve"> and BSL 2/3</w:t>
      </w:r>
    </w:p>
    <w:p w14:paraId="5234F4A2" w14:textId="77777777" w:rsidR="00643DB3" w:rsidRPr="00746E06" w:rsidRDefault="00643DB3" w:rsidP="00D11B44">
      <w:pPr>
        <w:jc w:val="center"/>
      </w:pPr>
    </w:p>
    <w:p w14:paraId="18CFB515" w14:textId="1BB188EA" w:rsidR="00630E45" w:rsidRPr="00D11B44" w:rsidRDefault="00D11B44" w:rsidP="00D11B44">
      <w:pPr>
        <w:pStyle w:val="Subtitle"/>
        <w:jc w:val="center"/>
        <w:rPr>
          <w:rFonts w:cs="Arial"/>
          <w:b/>
          <w:bCs/>
          <w:sz w:val="32"/>
          <w:szCs w:val="32"/>
        </w:rPr>
      </w:pPr>
      <w:r w:rsidRPr="00D11B44">
        <w:rPr>
          <w:rFonts w:cs="Arial"/>
          <w:b/>
          <w:bCs/>
          <w:sz w:val="32"/>
          <w:szCs w:val="32"/>
        </w:rPr>
        <w:t>[Principal Investigator]</w:t>
      </w:r>
    </w:p>
    <w:p w14:paraId="04DE2A64" w14:textId="19153DA5" w:rsidR="00D11B44" w:rsidRPr="00D11B44" w:rsidRDefault="00D11B44" w:rsidP="00D11B44">
      <w:pPr>
        <w:jc w:val="center"/>
        <w:rPr>
          <w:sz w:val="32"/>
          <w:szCs w:val="32"/>
        </w:rPr>
      </w:pPr>
      <w:r w:rsidRPr="00D11B44">
        <w:rPr>
          <w:sz w:val="32"/>
          <w:szCs w:val="32"/>
        </w:rPr>
        <w:t>[</w:t>
      </w:r>
      <w:r w:rsidR="00140D38">
        <w:rPr>
          <w:sz w:val="32"/>
          <w:szCs w:val="32"/>
        </w:rPr>
        <w:t>T</w:t>
      </w:r>
      <w:r w:rsidRPr="00D11B44">
        <w:rPr>
          <w:sz w:val="32"/>
          <w:szCs w:val="32"/>
        </w:rPr>
        <w:t>itle]</w:t>
      </w:r>
    </w:p>
    <w:p w14:paraId="7DF8134B" w14:textId="4E6AD0A9" w:rsidR="00D11B44" w:rsidRDefault="00D11B44" w:rsidP="00D11B44">
      <w:pPr>
        <w:jc w:val="center"/>
        <w:rPr>
          <w:sz w:val="32"/>
          <w:szCs w:val="32"/>
        </w:rPr>
      </w:pPr>
      <w:r w:rsidRPr="00D11B44">
        <w:rPr>
          <w:sz w:val="32"/>
          <w:szCs w:val="32"/>
        </w:rPr>
        <w:t>[</w:t>
      </w:r>
      <w:r w:rsidR="00AC29A9">
        <w:rPr>
          <w:sz w:val="32"/>
          <w:szCs w:val="32"/>
        </w:rPr>
        <w:t>Institute/</w:t>
      </w:r>
      <w:r w:rsidR="00E92030">
        <w:rPr>
          <w:sz w:val="32"/>
          <w:szCs w:val="32"/>
        </w:rPr>
        <w:t>Department</w:t>
      </w:r>
      <w:r w:rsidRPr="00D11B44">
        <w:rPr>
          <w:sz w:val="32"/>
          <w:szCs w:val="32"/>
        </w:rPr>
        <w:t>]</w:t>
      </w:r>
    </w:p>
    <w:p w14:paraId="13E41C5E" w14:textId="7B9842E6" w:rsidR="00E92030" w:rsidRPr="00D11B44" w:rsidRDefault="00E92030" w:rsidP="00D11B44">
      <w:pPr>
        <w:jc w:val="center"/>
        <w:rPr>
          <w:sz w:val="32"/>
          <w:szCs w:val="32"/>
        </w:rPr>
      </w:pPr>
      <w:r>
        <w:rPr>
          <w:sz w:val="32"/>
          <w:szCs w:val="32"/>
        </w:rPr>
        <w:t>[Laboratory Address/Location]</w:t>
      </w:r>
    </w:p>
    <w:p w14:paraId="466945DE" w14:textId="4FAA2B84" w:rsidR="00D11B44" w:rsidRPr="00D11B44" w:rsidRDefault="00D11B44" w:rsidP="00D11B44">
      <w:pPr>
        <w:jc w:val="center"/>
        <w:rPr>
          <w:sz w:val="32"/>
          <w:szCs w:val="32"/>
        </w:rPr>
      </w:pPr>
    </w:p>
    <w:p w14:paraId="4E5446F0" w14:textId="123232D1" w:rsidR="00D11B44" w:rsidRPr="00D11B44" w:rsidRDefault="00D11B44" w:rsidP="00D11B44">
      <w:pPr>
        <w:jc w:val="center"/>
        <w:rPr>
          <w:sz w:val="32"/>
          <w:szCs w:val="32"/>
        </w:rPr>
      </w:pPr>
    </w:p>
    <w:p w14:paraId="2AD4364C" w14:textId="2A33C832" w:rsidR="00D11B44" w:rsidRDefault="00D11B44" w:rsidP="00D11B44">
      <w:pPr>
        <w:jc w:val="center"/>
      </w:pPr>
    </w:p>
    <w:p w14:paraId="1F93DDB0" w14:textId="06AC7345" w:rsidR="00D11B44" w:rsidRDefault="00D11B44" w:rsidP="00D11B44">
      <w:pPr>
        <w:jc w:val="center"/>
      </w:pPr>
    </w:p>
    <w:p w14:paraId="20CED8BD" w14:textId="77777777" w:rsidR="00D11B44" w:rsidRPr="00D11B44" w:rsidRDefault="00D11B44" w:rsidP="00D11B44">
      <w:pPr>
        <w:jc w:val="center"/>
      </w:pPr>
    </w:p>
    <w:p w14:paraId="30A64893" w14:textId="77777777" w:rsidR="00D11B44" w:rsidRPr="00D11B44" w:rsidRDefault="00D11B44" w:rsidP="00D11B44"/>
    <w:p w14:paraId="2C4566E0" w14:textId="77777777" w:rsidR="00630E45" w:rsidRPr="00A10126" w:rsidRDefault="00630E45" w:rsidP="00D11B44">
      <w:pPr>
        <w:pStyle w:val="Subtitle"/>
        <w:jc w:val="center"/>
        <w:rPr>
          <w:sz w:val="32"/>
          <w:szCs w:val="32"/>
        </w:rPr>
      </w:pPr>
    </w:p>
    <w:p w14:paraId="4F5A7E2A" w14:textId="77777777" w:rsidR="00D11B44" w:rsidRDefault="00D11B44" w:rsidP="00D11B44">
      <w:pPr>
        <w:pStyle w:val="Subtitle"/>
        <w:jc w:val="center"/>
        <w:rPr>
          <w:sz w:val="32"/>
          <w:szCs w:val="32"/>
        </w:rPr>
      </w:pPr>
    </w:p>
    <w:p w14:paraId="67E66C21" w14:textId="77777777" w:rsidR="00D11B44" w:rsidRDefault="00D11B44" w:rsidP="00D11B44">
      <w:pPr>
        <w:pStyle w:val="Subtitle"/>
        <w:jc w:val="center"/>
        <w:rPr>
          <w:sz w:val="32"/>
          <w:szCs w:val="32"/>
        </w:rPr>
      </w:pPr>
    </w:p>
    <w:p w14:paraId="600F20C4" w14:textId="77777777" w:rsidR="00D11B44" w:rsidRDefault="00D11B44" w:rsidP="00D11B44">
      <w:pPr>
        <w:pStyle w:val="Subtitle"/>
        <w:jc w:val="center"/>
        <w:rPr>
          <w:sz w:val="32"/>
          <w:szCs w:val="32"/>
        </w:rPr>
      </w:pPr>
    </w:p>
    <w:p w14:paraId="34B74888" w14:textId="77777777" w:rsidR="00D11B44" w:rsidRDefault="00D11B44" w:rsidP="00D11B44">
      <w:pPr>
        <w:pStyle w:val="Subtitle"/>
        <w:jc w:val="center"/>
        <w:rPr>
          <w:sz w:val="32"/>
          <w:szCs w:val="32"/>
        </w:rPr>
      </w:pPr>
    </w:p>
    <w:p w14:paraId="4E65174E" w14:textId="77777777" w:rsidR="00D11B44" w:rsidRDefault="00D11B44" w:rsidP="00D11B44">
      <w:pPr>
        <w:pStyle w:val="Subtitle"/>
        <w:jc w:val="center"/>
        <w:rPr>
          <w:sz w:val="32"/>
          <w:szCs w:val="32"/>
        </w:rPr>
      </w:pPr>
    </w:p>
    <w:p w14:paraId="42D63472" w14:textId="77777777" w:rsidR="008F246A" w:rsidRDefault="00D11B44" w:rsidP="00D11B44">
      <w:pPr>
        <w:pStyle w:val="Subtitle"/>
        <w:jc w:val="right"/>
        <w:rPr>
          <w:sz w:val="32"/>
          <w:szCs w:val="32"/>
        </w:rPr>
      </w:pPr>
      <w:r>
        <w:rPr>
          <w:sz w:val="32"/>
          <w:szCs w:val="32"/>
        </w:rPr>
        <w:t xml:space="preserve">Prepared by: </w:t>
      </w:r>
    </w:p>
    <w:p w14:paraId="7D885CBD" w14:textId="7894ACB2" w:rsidR="00746E06" w:rsidRPr="00A10126" w:rsidRDefault="008F246A" w:rsidP="00D11B44">
      <w:pPr>
        <w:pStyle w:val="Subtitle"/>
        <w:jc w:val="right"/>
        <w:rPr>
          <w:sz w:val="32"/>
          <w:szCs w:val="32"/>
        </w:rPr>
      </w:pPr>
      <w:r>
        <w:rPr>
          <w:sz w:val="32"/>
          <w:szCs w:val="32"/>
        </w:rPr>
        <w:t>[</w:t>
      </w:r>
      <w:r w:rsidR="00752D0F">
        <w:rPr>
          <w:sz w:val="32"/>
          <w:szCs w:val="32"/>
        </w:rPr>
        <w:t>Name/Date]</w:t>
      </w:r>
      <w:r w:rsidR="00746E06" w:rsidRPr="00A10126">
        <w:rPr>
          <w:sz w:val="32"/>
          <w:szCs w:val="32"/>
        </w:rPr>
        <w:br w:type="page"/>
      </w:r>
    </w:p>
    <w:p w14:paraId="735AB5CB" w14:textId="77777777" w:rsidR="008E00FD" w:rsidRDefault="008E00FD" w:rsidP="00630E45">
      <w:pPr>
        <w:rPr>
          <w:rFonts w:asciiTheme="majorHAnsi" w:hAnsiTheme="majorHAnsi" w:cstheme="majorHAnsi"/>
          <w:b/>
          <w:bCs/>
          <w:sz w:val="28"/>
          <w:szCs w:val="28"/>
        </w:rPr>
      </w:pPr>
    </w:p>
    <w:p w14:paraId="79FD25C1" w14:textId="5EEAA973" w:rsidR="00630E45" w:rsidRDefault="00630E45" w:rsidP="009B4F67">
      <w:pPr>
        <w:pStyle w:val="Heading1"/>
        <w:rPr>
          <w:rFonts w:cs="Arial"/>
        </w:rPr>
      </w:pPr>
      <w:r w:rsidRPr="003559F4">
        <w:rPr>
          <w:rFonts w:cs="Arial"/>
        </w:rPr>
        <w:t>Principal Investigators</w:t>
      </w:r>
      <w:r w:rsidRPr="003559F4">
        <w:rPr>
          <w:rFonts w:cs="Arial"/>
          <w:b w:val="0"/>
        </w:rPr>
        <w:t>’</w:t>
      </w:r>
      <w:r w:rsidRPr="003559F4">
        <w:rPr>
          <w:rFonts w:cs="Arial"/>
        </w:rPr>
        <w:t xml:space="preserve"> Certification</w:t>
      </w:r>
    </w:p>
    <w:p w14:paraId="6B7377B1" w14:textId="77777777" w:rsidR="00140D38" w:rsidRPr="00140D38" w:rsidRDefault="00140D38" w:rsidP="00140D38"/>
    <w:p w14:paraId="6EC5E3B7" w14:textId="47C3B61D" w:rsidR="009D25FC" w:rsidRPr="003559F4" w:rsidRDefault="00630E45" w:rsidP="00630E45">
      <w:pPr>
        <w:rPr>
          <w:rFonts w:cs="Arial"/>
        </w:rPr>
      </w:pPr>
      <w:r w:rsidRPr="003559F4">
        <w:rPr>
          <w:rFonts w:cs="Arial"/>
        </w:rPr>
        <w:t>I hereby certify that I have reviewed the contents of this manual and that it reflects my current operating practices.</w:t>
      </w:r>
    </w:p>
    <w:tbl>
      <w:tblPr>
        <w:tblStyle w:val="GridTable4-Accent3"/>
        <w:tblW w:w="0" w:type="auto"/>
        <w:tblLook w:val="04A0" w:firstRow="1" w:lastRow="0" w:firstColumn="1" w:lastColumn="0" w:noHBand="0" w:noVBand="1"/>
      </w:tblPr>
      <w:tblGrid>
        <w:gridCol w:w="4412"/>
        <w:gridCol w:w="4687"/>
      </w:tblGrid>
      <w:tr w:rsidR="007D5C7D" w:rsidRPr="00886751" w14:paraId="5DE4CE06" w14:textId="77777777" w:rsidTr="00DE05B3">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4412" w:type="dxa"/>
            <w:tcBorders>
              <w:top w:val="single" w:sz="4" w:space="0" w:color="auto"/>
              <w:left w:val="single" w:sz="4" w:space="0" w:color="auto"/>
              <w:bottom w:val="single" w:sz="4" w:space="0" w:color="auto"/>
              <w:right w:val="single" w:sz="4" w:space="0" w:color="auto"/>
            </w:tcBorders>
          </w:tcPr>
          <w:p w14:paraId="6F8EE0C5" w14:textId="5DA8030C" w:rsidR="007D5C7D" w:rsidRPr="00DE05B3" w:rsidRDefault="009D25FC" w:rsidP="00DE05B3">
            <w:pPr>
              <w:pStyle w:val="Header"/>
              <w:jc w:val="center"/>
              <w:rPr>
                <w:bCs w:val="0"/>
                <w:color w:val="000000" w:themeColor="text1"/>
              </w:rPr>
            </w:pPr>
            <w:r w:rsidRPr="009D25FC">
              <w:rPr>
                <w:color w:val="000000" w:themeColor="text1"/>
              </w:rPr>
              <w:t>Date Reviewed:</w:t>
            </w:r>
          </w:p>
        </w:tc>
        <w:tc>
          <w:tcPr>
            <w:tcW w:w="4687" w:type="dxa"/>
            <w:tcBorders>
              <w:top w:val="single" w:sz="4" w:space="0" w:color="auto"/>
              <w:left w:val="single" w:sz="4" w:space="0" w:color="auto"/>
              <w:bottom w:val="single" w:sz="4" w:space="0" w:color="auto"/>
              <w:right w:val="single" w:sz="4" w:space="0" w:color="auto"/>
            </w:tcBorders>
          </w:tcPr>
          <w:p w14:paraId="5751E3E5" w14:textId="1AE09986" w:rsidR="007D5C7D" w:rsidRPr="00886751" w:rsidRDefault="009D25FC" w:rsidP="00DE05B3">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PI Signature:</w:t>
            </w:r>
          </w:p>
        </w:tc>
      </w:tr>
      <w:tr w:rsidR="007D5C7D" w14:paraId="2B39EAD8" w14:textId="77777777" w:rsidTr="00DE05B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412" w:type="dxa"/>
            <w:tcBorders>
              <w:top w:val="single" w:sz="4" w:space="0" w:color="auto"/>
            </w:tcBorders>
          </w:tcPr>
          <w:p w14:paraId="2DC09F50" w14:textId="77777777" w:rsidR="007D5C7D" w:rsidRPr="00E241E8" w:rsidRDefault="007D5C7D" w:rsidP="004F5228">
            <w:pPr>
              <w:rPr>
                <w:sz w:val="48"/>
                <w:szCs w:val="48"/>
              </w:rPr>
            </w:pPr>
          </w:p>
        </w:tc>
        <w:tc>
          <w:tcPr>
            <w:tcW w:w="4687" w:type="dxa"/>
            <w:tcBorders>
              <w:top w:val="single" w:sz="4" w:space="0" w:color="auto"/>
            </w:tcBorders>
          </w:tcPr>
          <w:p w14:paraId="51AC7F73" w14:textId="77777777" w:rsidR="007D5C7D" w:rsidRPr="00E241E8" w:rsidRDefault="007D5C7D" w:rsidP="004F5228">
            <w:pPr>
              <w:cnfStyle w:val="000000100000" w:firstRow="0" w:lastRow="0" w:firstColumn="0" w:lastColumn="0" w:oddVBand="0" w:evenVBand="0" w:oddHBand="1" w:evenHBand="0" w:firstRowFirstColumn="0" w:firstRowLastColumn="0" w:lastRowFirstColumn="0" w:lastRowLastColumn="0"/>
              <w:rPr>
                <w:sz w:val="48"/>
                <w:szCs w:val="48"/>
              </w:rPr>
            </w:pPr>
          </w:p>
        </w:tc>
      </w:tr>
      <w:tr w:rsidR="007D5C7D" w14:paraId="341FC95B" w14:textId="77777777" w:rsidTr="00DE05B3">
        <w:trPr>
          <w:trHeight w:val="497"/>
        </w:trPr>
        <w:tc>
          <w:tcPr>
            <w:cnfStyle w:val="001000000000" w:firstRow="0" w:lastRow="0" w:firstColumn="1" w:lastColumn="0" w:oddVBand="0" w:evenVBand="0" w:oddHBand="0" w:evenHBand="0" w:firstRowFirstColumn="0" w:firstRowLastColumn="0" w:lastRowFirstColumn="0" w:lastRowLastColumn="0"/>
            <w:tcW w:w="4412" w:type="dxa"/>
          </w:tcPr>
          <w:p w14:paraId="67F31D88" w14:textId="77777777" w:rsidR="007D5C7D" w:rsidRPr="00E241E8" w:rsidRDefault="007D5C7D" w:rsidP="004F5228">
            <w:pPr>
              <w:rPr>
                <w:sz w:val="48"/>
                <w:szCs w:val="48"/>
              </w:rPr>
            </w:pPr>
          </w:p>
        </w:tc>
        <w:tc>
          <w:tcPr>
            <w:tcW w:w="4687" w:type="dxa"/>
          </w:tcPr>
          <w:p w14:paraId="74C0EC07" w14:textId="77777777" w:rsidR="007D5C7D" w:rsidRPr="00E241E8" w:rsidRDefault="007D5C7D" w:rsidP="004F5228">
            <w:pPr>
              <w:cnfStyle w:val="000000000000" w:firstRow="0" w:lastRow="0" w:firstColumn="0" w:lastColumn="0" w:oddVBand="0" w:evenVBand="0" w:oddHBand="0" w:evenHBand="0" w:firstRowFirstColumn="0" w:firstRowLastColumn="0" w:lastRowFirstColumn="0" w:lastRowLastColumn="0"/>
              <w:rPr>
                <w:sz w:val="48"/>
                <w:szCs w:val="48"/>
              </w:rPr>
            </w:pPr>
          </w:p>
        </w:tc>
      </w:tr>
      <w:tr w:rsidR="007D5C7D" w14:paraId="2D7FCBC9" w14:textId="77777777" w:rsidTr="00DE05B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412" w:type="dxa"/>
          </w:tcPr>
          <w:p w14:paraId="427C845F" w14:textId="77777777" w:rsidR="007D5C7D" w:rsidRPr="00E241E8" w:rsidRDefault="007D5C7D" w:rsidP="004F5228">
            <w:pPr>
              <w:rPr>
                <w:b w:val="0"/>
                <w:bCs w:val="0"/>
                <w:sz w:val="48"/>
                <w:szCs w:val="48"/>
              </w:rPr>
            </w:pPr>
          </w:p>
        </w:tc>
        <w:tc>
          <w:tcPr>
            <w:tcW w:w="4687" w:type="dxa"/>
          </w:tcPr>
          <w:p w14:paraId="3DEF01F6" w14:textId="77777777" w:rsidR="007D5C7D" w:rsidRPr="00E241E8" w:rsidRDefault="007D5C7D" w:rsidP="004F5228">
            <w:pPr>
              <w:cnfStyle w:val="000000100000" w:firstRow="0" w:lastRow="0" w:firstColumn="0" w:lastColumn="0" w:oddVBand="0" w:evenVBand="0" w:oddHBand="1" w:evenHBand="0" w:firstRowFirstColumn="0" w:firstRowLastColumn="0" w:lastRowFirstColumn="0" w:lastRowLastColumn="0"/>
              <w:rPr>
                <w:sz w:val="48"/>
                <w:szCs w:val="48"/>
              </w:rPr>
            </w:pPr>
          </w:p>
        </w:tc>
      </w:tr>
      <w:tr w:rsidR="007D5C7D" w14:paraId="304219BD" w14:textId="77777777" w:rsidTr="00DE05B3">
        <w:trPr>
          <w:trHeight w:val="497"/>
        </w:trPr>
        <w:tc>
          <w:tcPr>
            <w:cnfStyle w:val="001000000000" w:firstRow="0" w:lastRow="0" w:firstColumn="1" w:lastColumn="0" w:oddVBand="0" w:evenVBand="0" w:oddHBand="0" w:evenHBand="0" w:firstRowFirstColumn="0" w:firstRowLastColumn="0" w:lastRowFirstColumn="0" w:lastRowLastColumn="0"/>
            <w:tcW w:w="4412" w:type="dxa"/>
          </w:tcPr>
          <w:p w14:paraId="1AB9A8A7" w14:textId="77777777" w:rsidR="007D5C7D" w:rsidRPr="00E241E8" w:rsidRDefault="007D5C7D" w:rsidP="004F5228">
            <w:pPr>
              <w:rPr>
                <w:b w:val="0"/>
                <w:bCs w:val="0"/>
                <w:sz w:val="48"/>
                <w:szCs w:val="48"/>
              </w:rPr>
            </w:pPr>
          </w:p>
        </w:tc>
        <w:tc>
          <w:tcPr>
            <w:tcW w:w="4687" w:type="dxa"/>
          </w:tcPr>
          <w:p w14:paraId="5F87BED8" w14:textId="77777777" w:rsidR="007D5C7D" w:rsidRPr="00E241E8" w:rsidRDefault="007D5C7D" w:rsidP="004F5228">
            <w:pPr>
              <w:cnfStyle w:val="000000000000" w:firstRow="0" w:lastRow="0" w:firstColumn="0" w:lastColumn="0" w:oddVBand="0" w:evenVBand="0" w:oddHBand="0" w:evenHBand="0" w:firstRowFirstColumn="0" w:firstRowLastColumn="0" w:lastRowFirstColumn="0" w:lastRowLastColumn="0"/>
              <w:rPr>
                <w:sz w:val="48"/>
                <w:szCs w:val="48"/>
              </w:rPr>
            </w:pPr>
          </w:p>
        </w:tc>
      </w:tr>
      <w:tr w:rsidR="007D5C7D" w:rsidRPr="0070320D" w14:paraId="02C75745" w14:textId="77777777" w:rsidTr="00DE05B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412" w:type="dxa"/>
          </w:tcPr>
          <w:p w14:paraId="72E22579" w14:textId="77777777" w:rsidR="007D5C7D" w:rsidRPr="00E241E8" w:rsidRDefault="007D5C7D" w:rsidP="004F5228">
            <w:pPr>
              <w:rPr>
                <w:b w:val="0"/>
                <w:bCs w:val="0"/>
                <w:sz w:val="48"/>
                <w:szCs w:val="48"/>
              </w:rPr>
            </w:pPr>
          </w:p>
        </w:tc>
        <w:tc>
          <w:tcPr>
            <w:tcW w:w="4687" w:type="dxa"/>
          </w:tcPr>
          <w:p w14:paraId="68C48D8A" w14:textId="77777777" w:rsidR="007D5C7D" w:rsidRPr="00E241E8" w:rsidRDefault="007D5C7D" w:rsidP="004F5228">
            <w:pPr>
              <w:cnfStyle w:val="000000100000" w:firstRow="0" w:lastRow="0" w:firstColumn="0" w:lastColumn="0" w:oddVBand="0" w:evenVBand="0" w:oddHBand="1" w:evenHBand="0" w:firstRowFirstColumn="0" w:firstRowLastColumn="0" w:lastRowFirstColumn="0" w:lastRowLastColumn="0"/>
              <w:rPr>
                <w:sz w:val="48"/>
                <w:szCs w:val="48"/>
              </w:rPr>
            </w:pPr>
          </w:p>
        </w:tc>
      </w:tr>
      <w:tr w:rsidR="007D5C7D" w14:paraId="3341E3F7" w14:textId="77777777" w:rsidTr="00DE05B3">
        <w:trPr>
          <w:trHeight w:val="497"/>
        </w:trPr>
        <w:tc>
          <w:tcPr>
            <w:cnfStyle w:val="001000000000" w:firstRow="0" w:lastRow="0" w:firstColumn="1" w:lastColumn="0" w:oddVBand="0" w:evenVBand="0" w:oddHBand="0" w:evenHBand="0" w:firstRowFirstColumn="0" w:firstRowLastColumn="0" w:lastRowFirstColumn="0" w:lastRowLastColumn="0"/>
            <w:tcW w:w="4412" w:type="dxa"/>
          </w:tcPr>
          <w:p w14:paraId="346BA432" w14:textId="77777777" w:rsidR="007D5C7D" w:rsidRPr="00E241E8" w:rsidRDefault="007D5C7D" w:rsidP="004F5228">
            <w:pPr>
              <w:rPr>
                <w:b w:val="0"/>
                <w:bCs w:val="0"/>
                <w:sz w:val="48"/>
                <w:szCs w:val="48"/>
              </w:rPr>
            </w:pPr>
          </w:p>
        </w:tc>
        <w:tc>
          <w:tcPr>
            <w:tcW w:w="4687" w:type="dxa"/>
          </w:tcPr>
          <w:p w14:paraId="2086D980" w14:textId="77777777" w:rsidR="007D5C7D" w:rsidRPr="00E241E8" w:rsidRDefault="007D5C7D" w:rsidP="004F5228">
            <w:pPr>
              <w:cnfStyle w:val="000000000000" w:firstRow="0" w:lastRow="0" w:firstColumn="0" w:lastColumn="0" w:oddVBand="0" w:evenVBand="0" w:oddHBand="0" w:evenHBand="0" w:firstRowFirstColumn="0" w:firstRowLastColumn="0" w:lastRowFirstColumn="0" w:lastRowLastColumn="0"/>
              <w:rPr>
                <w:sz w:val="48"/>
                <w:szCs w:val="48"/>
              </w:rPr>
            </w:pPr>
          </w:p>
        </w:tc>
      </w:tr>
      <w:tr w:rsidR="007D5C7D" w14:paraId="762F21AC" w14:textId="77777777" w:rsidTr="00DE05B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12" w:type="dxa"/>
          </w:tcPr>
          <w:p w14:paraId="01D33A0D" w14:textId="77777777" w:rsidR="007D5C7D" w:rsidRPr="00E241E8" w:rsidRDefault="007D5C7D" w:rsidP="004F5228">
            <w:pPr>
              <w:rPr>
                <w:b w:val="0"/>
                <w:bCs w:val="0"/>
                <w:sz w:val="48"/>
                <w:szCs w:val="48"/>
              </w:rPr>
            </w:pPr>
          </w:p>
        </w:tc>
        <w:tc>
          <w:tcPr>
            <w:tcW w:w="4687" w:type="dxa"/>
          </w:tcPr>
          <w:p w14:paraId="1F66A47F" w14:textId="77777777" w:rsidR="007D5C7D" w:rsidRPr="00E241E8" w:rsidRDefault="007D5C7D" w:rsidP="004F5228">
            <w:pPr>
              <w:cnfStyle w:val="000000100000" w:firstRow="0" w:lastRow="0" w:firstColumn="0" w:lastColumn="0" w:oddVBand="0" w:evenVBand="0" w:oddHBand="1" w:evenHBand="0" w:firstRowFirstColumn="0" w:firstRowLastColumn="0" w:lastRowFirstColumn="0" w:lastRowLastColumn="0"/>
              <w:rPr>
                <w:sz w:val="48"/>
                <w:szCs w:val="48"/>
              </w:rPr>
            </w:pPr>
          </w:p>
        </w:tc>
      </w:tr>
    </w:tbl>
    <w:p w14:paraId="7BA5F89B" w14:textId="77777777" w:rsidR="00630E45" w:rsidRPr="003559F4" w:rsidRDefault="00630E45" w:rsidP="00630E45">
      <w:pPr>
        <w:rPr>
          <w:rFonts w:cs="Arial"/>
          <w:sz w:val="24"/>
          <w:szCs w:val="24"/>
        </w:rPr>
      </w:pPr>
    </w:p>
    <w:p w14:paraId="293F5150" w14:textId="77777777" w:rsidR="009B4F67" w:rsidRDefault="009B4F67">
      <w:pPr>
        <w:rPr>
          <w:rFonts w:asciiTheme="majorHAnsi" w:hAnsiTheme="majorHAnsi" w:cstheme="majorHAnsi"/>
          <w:b/>
          <w:bCs/>
          <w:sz w:val="28"/>
          <w:szCs w:val="28"/>
        </w:rPr>
      </w:pPr>
      <w:r>
        <w:rPr>
          <w:rFonts w:asciiTheme="majorHAnsi" w:hAnsiTheme="majorHAnsi" w:cstheme="majorHAnsi"/>
          <w:b/>
          <w:bCs/>
          <w:sz w:val="28"/>
          <w:szCs w:val="28"/>
        </w:rPr>
        <w:br w:type="page"/>
      </w:r>
    </w:p>
    <w:p w14:paraId="7D1F3F67" w14:textId="77777777" w:rsidR="00806A92" w:rsidRDefault="00806A92" w:rsidP="0080072F">
      <w:pPr>
        <w:pStyle w:val="Heading1"/>
      </w:pPr>
      <w:bookmarkStart w:id="0" w:name="_Toc47684995"/>
      <w:r>
        <w:lastRenderedPageBreak/>
        <w:t>Biological Agents Used in this Laboratory</w:t>
      </w:r>
    </w:p>
    <w:p w14:paraId="32D04E5A" w14:textId="77777777" w:rsidR="00806A92" w:rsidRDefault="00806A92" w:rsidP="00806A92"/>
    <w:p w14:paraId="7C5A96F4" w14:textId="77777777" w:rsidR="00DE60D4" w:rsidRDefault="00DE60D4" w:rsidP="00806A92">
      <w:r w:rsidRPr="00DE60D4">
        <w:t xml:space="preserve">Note: Registration of materials and addition or deletion of personnel and lab rooms must be processed through PI Dashboard, </w:t>
      </w:r>
      <w:hyperlink r:id="rId11" w:history="1">
        <w:r w:rsidR="00573F7D" w:rsidRPr="00FB6A12">
          <w:rPr>
            <w:rStyle w:val="Hyperlink"/>
          </w:rPr>
          <w:t>https://oms.ors.nih.gov/</w:t>
        </w:r>
      </w:hyperlink>
      <w:r w:rsidRPr="00DE60D4">
        <w:t>.</w:t>
      </w:r>
    </w:p>
    <w:tbl>
      <w:tblPr>
        <w:tblStyle w:val="GridTable4-Accent3"/>
        <w:tblW w:w="0" w:type="auto"/>
        <w:tblLook w:val="04A0" w:firstRow="1" w:lastRow="0" w:firstColumn="1" w:lastColumn="0" w:noHBand="0" w:noVBand="1"/>
      </w:tblPr>
      <w:tblGrid>
        <w:gridCol w:w="4185"/>
        <w:gridCol w:w="2309"/>
        <w:gridCol w:w="2389"/>
      </w:tblGrid>
      <w:tr w:rsidR="00886751" w:rsidRPr="00886751" w14:paraId="35ADA730" w14:textId="77777777" w:rsidTr="00DE05B3">
        <w:trPr>
          <w:cnfStyle w:val="100000000000" w:firstRow="1" w:lastRow="0" w:firstColumn="0" w:lastColumn="0" w:oddVBand="0" w:evenVBand="0" w:oddHBand="0"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4185" w:type="dxa"/>
            <w:tcBorders>
              <w:top w:val="single" w:sz="4" w:space="0" w:color="auto"/>
              <w:left w:val="single" w:sz="4" w:space="0" w:color="auto"/>
              <w:bottom w:val="single" w:sz="4" w:space="0" w:color="auto"/>
              <w:right w:val="single" w:sz="4" w:space="0" w:color="auto"/>
            </w:tcBorders>
          </w:tcPr>
          <w:p w14:paraId="3A5DFAB0" w14:textId="1D12C395" w:rsidR="00886751" w:rsidRPr="00886751" w:rsidRDefault="00886751" w:rsidP="00886751">
            <w:pPr>
              <w:pStyle w:val="Header"/>
              <w:rPr>
                <w:rFonts w:cs="Arial"/>
                <w:b w:val="0"/>
                <w:color w:val="000000" w:themeColor="text1"/>
              </w:rPr>
            </w:pPr>
            <w:bookmarkStart w:id="1" w:name="_Hlk65855574"/>
            <w:r w:rsidRPr="00886751">
              <w:rPr>
                <w:rFonts w:cs="Arial"/>
                <w:color w:val="000000" w:themeColor="text1"/>
              </w:rPr>
              <w:t>Biological Material</w:t>
            </w:r>
            <w:r w:rsidR="00F17558">
              <w:rPr>
                <w:rFonts w:cs="Arial"/>
                <w:color w:val="000000" w:themeColor="text1"/>
              </w:rPr>
              <w:t>s</w:t>
            </w:r>
            <w:r w:rsidRPr="00886751">
              <w:rPr>
                <w:rFonts w:cs="Arial"/>
                <w:color w:val="000000" w:themeColor="text1"/>
              </w:rPr>
              <w:t xml:space="preserve"> </w:t>
            </w:r>
          </w:p>
          <w:p w14:paraId="0346E7AE" w14:textId="0A6092A7" w:rsidR="00440C3E" w:rsidRPr="003D5F60" w:rsidRDefault="00F17558" w:rsidP="003D5F60">
            <w:pPr>
              <w:rPr>
                <w:b w:val="0"/>
                <w:color w:val="000000" w:themeColor="text1"/>
              </w:rPr>
            </w:pPr>
            <w:r>
              <w:rPr>
                <w:b w:val="0"/>
                <w:bCs w:val="0"/>
                <w:color w:val="000000" w:themeColor="text1"/>
              </w:rPr>
              <w:t>List A</w:t>
            </w:r>
            <w:r w:rsidR="1B248C38" w:rsidRPr="38A730F4">
              <w:rPr>
                <w:b w:val="0"/>
                <w:bCs w:val="0"/>
                <w:color w:val="000000" w:themeColor="text1"/>
              </w:rPr>
              <w:t xml:space="preserve">LL material </w:t>
            </w:r>
            <w:r>
              <w:rPr>
                <w:b w:val="0"/>
                <w:bCs w:val="0"/>
                <w:color w:val="000000" w:themeColor="text1"/>
              </w:rPr>
              <w:t xml:space="preserve">in </w:t>
            </w:r>
            <w:r w:rsidR="1B248C38" w:rsidRPr="38A730F4">
              <w:rPr>
                <w:b w:val="0"/>
                <w:bCs w:val="0"/>
                <w:color w:val="000000" w:themeColor="text1"/>
              </w:rPr>
              <w:t>use in this lab</w:t>
            </w:r>
            <w:r w:rsidR="02C048A4" w:rsidRPr="00DE05B3">
              <w:rPr>
                <w:color w:val="auto"/>
              </w:rPr>
              <w:t>:</w:t>
            </w:r>
            <w:r w:rsidR="003D5F60">
              <w:rPr>
                <w:b w:val="0"/>
                <w:color w:val="auto"/>
              </w:rPr>
              <w:t xml:space="preserve"> </w:t>
            </w:r>
            <w:r w:rsidR="00140D38">
              <w:rPr>
                <w:b w:val="0"/>
                <w:color w:val="auto"/>
              </w:rPr>
              <w:t>e</w:t>
            </w:r>
            <w:r w:rsidR="00590260">
              <w:rPr>
                <w:b w:val="0"/>
                <w:color w:val="auto"/>
              </w:rPr>
              <w:t xml:space="preserve">.g., </w:t>
            </w:r>
            <w:r w:rsidR="7BDB248C" w:rsidRPr="00102417">
              <w:rPr>
                <w:rFonts w:cs="Arial"/>
                <w:b w:val="0"/>
                <w:color w:val="auto"/>
              </w:rPr>
              <w:t>Microorganisms</w:t>
            </w:r>
            <w:r w:rsidR="00102417">
              <w:rPr>
                <w:rFonts w:cs="Arial"/>
                <w:b w:val="0"/>
                <w:bCs w:val="0"/>
                <w:color w:val="auto"/>
              </w:rPr>
              <w:t>,</w:t>
            </w:r>
          </w:p>
          <w:p w14:paraId="0F615CBB" w14:textId="09B9E0FF" w:rsidR="00523C60" w:rsidRPr="00102417" w:rsidRDefault="7BDB248C" w:rsidP="009C2135">
            <w:pPr>
              <w:pStyle w:val="Header"/>
              <w:rPr>
                <w:rFonts w:cs="Arial"/>
                <w:b w:val="0"/>
                <w:bCs w:val="0"/>
                <w:color w:val="auto"/>
              </w:rPr>
            </w:pPr>
            <w:r w:rsidRPr="00102417">
              <w:rPr>
                <w:rFonts w:cs="Arial"/>
                <w:b w:val="0"/>
                <w:color w:val="auto"/>
              </w:rPr>
              <w:t>Human-derived materials</w:t>
            </w:r>
            <w:r w:rsidR="00102417">
              <w:rPr>
                <w:rFonts w:cs="Arial"/>
                <w:b w:val="0"/>
                <w:bCs w:val="0"/>
                <w:color w:val="auto"/>
              </w:rPr>
              <w:t>,</w:t>
            </w:r>
          </w:p>
          <w:p w14:paraId="42670914" w14:textId="50D4C8A9" w:rsidR="009C2135" w:rsidRPr="003D5F60" w:rsidRDefault="7BDB248C" w:rsidP="003D5F60">
            <w:pPr>
              <w:pStyle w:val="Header"/>
              <w:rPr>
                <w:rFonts w:cs="Arial"/>
                <w:b w:val="0"/>
                <w:bCs w:val="0"/>
                <w:color w:val="auto"/>
              </w:rPr>
            </w:pPr>
            <w:r w:rsidRPr="00102417">
              <w:rPr>
                <w:rFonts w:cs="Arial"/>
                <w:b w:val="0"/>
                <w:color w:val="auto"/>
              </w:rPr>
              <w:t>Non-human primate blood, tissues, or body fluids</w:t>
            </w:r>
            <w:r w:rsidR="00102417">
              <w:rPr>
                <w:rFonts w:cs="Arial"/>
                <w:b w:val="0"/>
                <w:bCs w:val="0"/>
                <w:color w:val="auto"/>
              </w:rPr>
              <w:t xml:space="preserve">, </w:t>
            </w:r>
            <w:r w:rsidRPr="00102417">
              <w:rPr>
                <w:b w:val="0"/>
                <w:bCs w:val="0"/>
                <w:color w:val="auto"/>
              </w:rPr>
              <w:t>Biotoxins</w:t>
            </w:r>
          </w:p>
        </w:tc>
        <w:tc>
          <w:tcPr>
            <w:tcW w:w="2309" w:type="dxa"/>
            <w:tcBorders>
              <w:top w:val="single" w:sz="4" w:space="0" w:color="auto"/>
              <w:left w:val="single" w:sz="4" w:space="0" w:color="auto"/>
              <w:bottom w:val="single" w:sz="4" w:space="0" w:color="auto"/>
              <w:right w:val="single" w:sz="4" w:space="0" w:color="auto"/>
            </w:tcBorders>
          </w:tcPr>
          <w:p w14:paraId="05D427A0" w14:textId="6FA0E0E3" w:rsidR="00886751" w:rsidRPr="00886751" w:rsidRDefault="00886751" w:rsidP="00806A92">
            <w:pPr>
              <w:cnfStyle w:val="100000000000" w:firstRow="1" w:lastRow="0" w:firstColumn="0" w:lastColumn="0" w:oddVBand="0" w:evenVBand="0" w:oddHBand="0" w:evenHBand="0" w:firstRowFirstColumn="0" w:firstRowLastColumn="0" w:lastRowFirstColumn="0" w:lastRowLastColumn="0"/>
              <w:rPr>
                <w:color w:val="000000" w:themeColor="text1"/>
              </w:rPr>
            </w:pPr>
            <w:r w:rsidRPr="00886751">
              <w:rPr>
                <w:color w:val="000000" w:themeColor="text1"/>
              </w:rPr>
              <w:t>Registration Number</w:t>
            </w:r>
            <w:r w:rsidR="00E2353A">
              <w:rPr>
                <w:color w:val="000000" w:themeColor="text1"/>
              </w:rPr>
              <w:t xml:space="preserve"> </w:t>
            </w:r>
            <w:r w:rsidR="00F17558">
              <w:rPr>
                <w:color w:val="000000" w:themeColor="text1"/>
              </w:rPr>
              <w:t>(</w:t>
            </w:r>
            <w:r w:rsidRPr="00886751">
              <w:rPr>
                <w:color w:val="000000" w:themeColor="text1"/>
              </w:rPr>
              <w:t>designated by the IBC</w:t>
            </w:r>
            <w:r w:rsidR="00F17558">
              <w:rPr>
                <w:color w:val="000000" w:themeColor="text1"/>
              </w:rPr>
              <w:t>)</w:t>
            </w:r>
          </w:p>
        </w:tc>
        <w:tc>
          <w:tcPr>
            <w:tcW w:w="2389" w:type="dxa"/>
            <w:tcBorders>
              <w:top w:val="single" w:sz="4" w:space="0" w:color="auto"/>
              <w:left w:val="single" w:sz="4" w:space="0" w:color="auto"/>
              <w:bottom w:val="single" w:sz="4" w:space="0" w:color="auto"/>
              <w:right w:val="single" w:sz="4" w:space="0" w:color="auto"/>
            </w:tcBorders>
          </w:tcPr>
          <w:p w14:paraId="3700D30F" w14:textId="6C67CECB" w:rsidR="00886751" w:rsidRPr="00886751" w:rsidRDefault="00886751" w:rsidP="00806A92">
            <w:pPr>
              <w:cnfStyle w:val="100000000000" w:firstRow="1" w:lastRow="0" w:firstColumn="0" w:lastColumn="0" w:oddVBand="0" w:evenVBand="0" w:oddHBand="0" w:evenHBand="0" w:firstRowFirstColumn="0" w:firstRowLastColumn="0" w:lastRowFirstColumn="0" w:lastRowLastColumn="0"/>
              <w:rPr>
                <w:color w:val="000000" w:themeColor="text1"/>
              </w:rPr>
            </w:pPr>
            <w:r w:rsidRPr="00886751">
              <w:rPr>
                <w:rFonts w:cs="Arial"/>
                <w:color w:val="000000" w:themeColor="text1"/>
              </w:rPr>
              <w:t xml:space="preserve">Special Requirements or Concerns </w:t>
            </w:r>
            <w:r w:rsidRPr="00D14932">
              <w:rPr>
                <w:rFonts w:cs="Arial"/>
                <w:b w:val="0"/>
                <w:bCs w:val="0"/>
                <w:color w:val="000000" w:themeColor="text1"/>
              </w:rPr>
              <w:t>(e.g., vaccines, teratogenic, PPE, etc.)</w:t>
            </w:r>
            <w:r w:rsidR="00F17558">
              <w:rPr>
                <w:rFonts w:cs="Arial"/>
                <w:b w:val="0"/>
                <w:bCs w:val="0"/>
                <w:color w:val="000000" w:themeColor="text1"/>
              </w:rPr>
              <w:t xml:space="preserve"> NOTE: See IBC review comments for this information.</w:t>
            </w:r>
          </w:p>
        </w:tc>
      </w:tr>
      <w:tr w:rsidR="00886751" w14:paraId="745B52C2" w14:textId="77777777" w:rsidTr="00DE05B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185" w:type="dxa"/>
            <w:tcBorders>
              <w:top w:val="single" w:sz="4" w:space="0" w:color="auto"/>
            </w:tcBorders>
          </w:tcPr>
          <w:p w14:paraId="5D48979A" w14:textId="5CD0D805" w:rsidR="00886751" w:rsidRPr="00E241E8" w:rsidRDefault="00886751" w:rsidP="00806A92">
            <w:pPr>
              <w:rPr>
                <w:sz w:val="48"/>
                <w:szCs w:val="48"/>
              </w:rPr>
            </w:pPr>
          </w:p>
        </w:tc>
        <w:tc>
          <w:tcPr>
            <w:tcW w:w="2309" w:type="dxa"/>
            <w:tcBorders>
              <w:top w:val="single" w:sz="4" w:space="0" w:color="auto"/>
            </w:tcBorders>
          </w:tcPr>
          <w:p w14:paraId="2504803D" w14:textId="52FC2D01" w:rsidR="00886751" w:rsidRPr="00E241E8" w:rsidRDefault="00886751" w:rsidP="00806A92">
            <w:pPr>
              <w:cnfStyle w:val="000000100000" w:firstRow="0" w:lastRow="0" w:firstColumn="0" w:lastColumn="0" w:oddVBand="0" w:evenVBand="0" w:oddHBand="1" w:evenHBand="0" w:firstRowFirstColumn="0" w:firstRowLastColumn="0" w:lastRowFirstColumn="0" w:lastRowLastColumn="0"/>
              <w:rPr>
                <w:sz w:val="48"/>
                <w:szCs w:val="48"/>
              </w:rPr>
            </w:pPr>
          </w:p>
        </w:tc>
        <w:tc>
          <w:tcPr>
            <w:tcW w:w="2389" w:type="dxa"/>
            <w:tcBorders>
              <w:top w:val="single" w:sz="4" w:space="0" w:color="auto"/>
            </w:tcBorders>
          </w:tcPr>
          <w:p w14:paraId="142BEE22" w14:textId="77777777" w:rsidR="00D14932" w:rsidRPr="00E241E8" w:rsidRDefault="00D14932" w:rsidP="00D11B44">
            <w:pPr>
              <w:cnfStyle w:val="000000100000" w:firstRow="0" w:lastRow="0" w:firstColumn="0" w:lastColumn="0" w:oddVBand="0" w:evenVBand="0" w:oddHBand="1" w:evenHBand="0" w:firstRowFirstColumn="0" w:firstRowLastColumn="0" w:lastRowFirstColumn="0" w:lastRowLastColumn="0"/>
              <w:rPr>
                <w:sz w:val="48"/>
                <w:szCs w:val="48"/>
              </w:rPr>
            </w:pPr>
          </w:p>
        </w:tc>
      </w:tr>
      <w:tr w:rsidR="00886751" w14:paraId="0D0ADF2E" w14:textId="77777777" w:rsidTr="00DE05B3">
        <w:trPr>
          <w:trHeight w:val="304"/>
        </w:trPr>
        <w:tc>
          <w:tcPr>
            <w:cnfStyle w:val="001000000000" w:firstRow="0" w:lastRow="0" w:firstColumn="1" w:lastColumn="0" w:oddVBand="0" w:evenVBand="0" w:oddHBand="0" w:evenHBand="0" w:firstRowFirstColumn="0" w:firstRowLastColumn="0" w:lastRowFirstColumn="0" w:lastRowLastColumn="0"/>
            <w:tcW w:w="4185" w:type="dxa"/>
          </w:tcPr>
          <w:p w14:paraId="2C6A3B9E" w14:textId="6B4F630C" w:rsidR="00D14932" w:rsidRPr="00E241E8" w:rsidRDefault="00D14932" w:rsidP="00806A92">
            <w:pPr>
              <w:rPr>
                <w:sz w:val="48"/>
                <w:szCs w:val="48"/>
              </w:rPr>
            </w:pPr>
          </w:p>
        </w:tc>
        <w:tc>
          <w:tcPr>
            <w:tcW w:w="2309" w:type="dxa"/>
          </w:tcPr>
          <w:p w14:paraId="7CFAC00F" w14:textId="77777777" w:rsidR="00886751" w:rsidRPr="00E241E8" w:rsidRDefault="00886751" w:rsidP="00D14932">
            <w:pPr>
              <w:cnfStyle w:val="000000000000" w:firstRow="0" w:lastRow="0" w:firstColumn="0" w:lastColumn="0" w:oddVBand="0" w:evenVBand="0" w:oddHBand="0" w:evenHBand="0" w:firstRowFirstColumn="0" w:firstRowLastColumn="0" w:lastRowFirstColumn="0" w:lastRowLastColumn="0"/>
              <w:rPr>
                <w:sz w:val="48"/>
                <w:szCs w:val="48"/>
              </w:rPr>
            </w:pPr>
          </w:p>
        </w:tc>
        <w:tc>
          <w:tcPr>
            <w:tcW w:w="2389" w:type="dxa"/>
          </w:tcPr>
          <w:p w14:paraId="0D40E12B" w14:textId="77777777" w:rsidR="006440D3" w:rsidRPr="00E241E8" w:rsidRDefault="006440D3" w:rsidP="009C2135">
            <w:pPr>
              <w:cnfStyle w:val="000000000000" w:firstRow="0" w:lastRow="0" w:firstColumn="0" w:lastColumn="0" w:oddVBand="0" w:evenVBand="0" w:oddHBand="0" w:evenHBand="0" w:firstRowFirstColumn="0" w:firstRowLastColumn="0" w:lastRowFirstColumn="0" w:lastRowLastColumn="0"/>
              <w:rPr>
                <w:sz w:val="48"/>
                <w:szCs w:val="48"/>
              </w:rPr>
            </w:pPr>
          </w:p>
        </w:tc>
      </w:tr>
      <w:tr w:rsidR="00886751" w14:paraId="539F6936" w14:textId="77777777" w:rsidTr="00DE05B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185" w:type="dxa"/>
          </w:tcPr>
          <w:p w14:paraId="75208FCB" w14:textId="5F97B7CC" w:rsidR="00886751" w:rsidRPr="00E241E8" w:rsidRDefault="00886751" w:rsidP="00806A92">
            <w:pPr>
              <w:rPr>
                <w:b w:val="0"/>
                <w:bCs w:val="0"/>
                <w:sz w:val="48"/>
                <w:szCs w:val="48"/>
              </w:rPr>
            </w:pPr>
          </w:p>
        </w:tc>
        <w:tc>
          <w:tcPr>
            <w:tcW w:w="2309" w:type="dxa"/>
          </w:tcPr>
          <w:p w14:paraId="4C53E488" w14:textId="10D68970" w:rsidR="00AC7546" w:rsidRPr="00E241E8" w:rsidRDefault="00AC7546" w:rsidP="00806A92">
            <w:pPr>
              <w:cnfStyle w:val="000000100000" w:firstRow="0" w:lastRow="0" w:firstColumn="0" w:lastColumn="0" w:oddVBand="0" w:evenVBand="0" w:oddHBand="1" w:evenHBand="0" w:firstRowFirstColumn="0" w:firstRowLastColumn="0" w:lastRowFirstColumn="0" w:lastRowLastColumn="0"/>
              <w:rPr>
                <w:sz w:val="48"/>
                <w:szCs w:val="48"/>
              </w:rPr>
            </w:pPr>
          </w:p>
        </w:tc>
        <w:tc>
          <w:tcPr>
            <w:tcW w:w="2389" w:type="dxa"/>
          </w:tcPr>
          <w:p w14:paraId="76451765" w14:textId="77777777" w:rsidR="006440D3" w:rsidRPr="00E241E8" w:rsidRDefault="006440D3" w:rsidP="009C2135">
            <w:pPr>
              <w:cnfStyle w:val="000000100000" w:firstRow="0" w:lastRow="0" w:firstColumn="0" w:lastColumn="0" w:oddVBand="0" w:evenVBand="0" w:oddHBand="1" w:evenHBand="0" w:firstRowFirstColumn="0" w:firstRowLastColumn="0" w:lastRowFirstColumn="0" w:lastRowLastColumn="0"/>
              <w:rPr>
                <w:sz w:val="48"/>
                <w:szCs w:val="48"/>
              </w:rPr>
            </w:pPr>
          </w:p>
        </w:tc>
      </w:tr>
      <w:tr w:rsidR="00EC0318" w14:paraId="177E6334" w14:textId="77777777" w:rsidTr="00DE05B3">
        <w:trPr>
          <w:trHeight w:val="304"/>
        </w:trPr>
        <w:tc>
          <w:tcPr>
            <w:cnfStyle w:val="001000000000" w:firstRow="0" w:lastRow="0" w:firstColumn="1" w:lastColumn="0" w:oddVBand="0" w:evenVBand="0" w:oddHBand="0" w:evenHBand="0" w:firstRowFirstColumn="0" w:firstRowLastColumn="0" w:lastRowFirstColumn="0" w:lastRowLastColumn="0"/>
            <w:tcW w:w="4185" w:type="dxa"/>
          </w:tcPr>
          <w:p w14:paraId="25942FA2" w14:textId="00B0A060" w:rsidR="00EC0318" w:rsidRPr="00E241E8" w:rsidRDefault="00EC0318" w:rsidP="00806A92">
            <w:pPr>
              <w:rPr>
                <w:b w:val="0"/>
                <w:bCs w:val="0"/>
                <w:sz w:val="48"/>
                <w:szCs w:val="48"/>
              </w:rPr>
            </w:pPr>
          </w:p>
        </w:tc>
        <w:tc>
          <w:tcPr>
            <w:tcW w:w="2309" w:type="dxa"/>
          </w:tcPr>
          <w:p w14:paraId="40F42CB9" w14:textId="29AD8413" w:rsidR="00EC0318" w:rsidRPr="00E241E8" w:rsidRDefault="00EC0318" w:rsidP="00806A92">
            <w:pPr>
              <w:cnfStyle w:val="000000000000" w:firstRow="0" w:lastRow="0" w:firstColumn="0" w:lastColumn="0" w:oddVBand="0" w:evenVBand="0" w:oddHBand="0" w:evenHBand="0" w:firstRowFirstColumn="0" w:firstRowLastColumn="0" w:lastRowFirstColumn="0" w:lastRowLastColumn="0"/>
              <w:rPr>
                <w:sz w:val="48"/>
                <w:szCs w:val="48"/>
              </w:rPr>
            </w:pPr>
          </w:p>
        </w:tc>
        <w:tc>
          <w:tcPr>
            <w:tcW w:w="2389" w:type="dxa"/>
          </w:tcPr>
          <w:p w14:paraId="16355805" w14:textId="11634DD4" w:rsidR="00EC0318" w:rsidRPr="00E241E8" w:rsidRDefault="00EC0318" w:rsidP="00806A92">
            <w:pPr>
              <w:cnfStyle w:val="000000000000" w:firstRow="0" w:lastRow="0" w:firstColumn="0" w:lastColumn="0" w:oddVBand="0" w:evenVBand="0" w:oddHBand="0" w:evenHBand="0" w:firstRowFirstColumn="0" w:firstRowLastColumn="0" w:lastRowFirstColumn="0" w:lastRowLastColumn="0"/>
              <w:rPr>
                <w:sz w:val="48"/>
                <w:szCs w:val="48"/>
              </w:rPr>
            </w:pPr>
          </w:p>
        </w:tc>
      </w:tr>
      <w:tr w:rsidR="00AE19D5" w14:paraId="438E620A" w14:textId="77777777" w:rsidTr="00DE05B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185" w:type="dxa"/>
          </w:tcPr>
          <w:p w14:paraId="66B07BE2" w14:textId="4C029559" w:rsidR="00AE19D5" w:rsidRPr="00E241E8" w:rsidRDefault="00AE19D5" w:rsidP="00806A92">
            <w:pPr>
              <w:rPr>
                <w:b w:val="0"/>
                <w:bCs w:val="0"/>
                <w:sz w:val="48"/>
                <w:szCs w:val="48"/>
              </w:rPr>
            </w:pPr>
          </w:p>
        </w:tc>
        <w:tc>
          <w:tcPr>
            <w:tcW w:w="2309" w:type="dxa"/>
          </w:tcPr>
          <w:p w14:paraId="1B8D7D92" w14:textId="130543B1" w:rsidR="00AE19D5" w:rsidRPr="00E241E8" w:rsidRDefault="00AE19D5" w:rsidP="00806A92">
            <w:pPr>
              <w:cnfStyle w:val="000000100000" w:firstRow="0" w:lastRow="0" w:firstColumn="0" w:lastColumn="0" w:oddVBand="0" w:evenVBand="0" w:oddHBand="1" w:evenHBand="0" w:firstRowFirstColumn="0" w:firstRowLastColumn="0" w:lastRowFirstColumn="0" w:lastRowLastColumn="0"/>
              <w:rPr>
                <w:sz w:val="48"/>
                <w:szCs w:val="48"/>
              </w:rPr>
            </w:pPr>
          </w:p>
        </w:tc>
        <w:tc>
          <w:tcPr>
            <w:tcW w:w="2389" w:type="dxa"/>
            <w:shd w:val="clear" w:color="auto" w:fill="F2F2F2" w:themeFill="background1" w:themeFillShade="F2"/>
          </w:tcPr>
          <w:p w14:paraId="6106238A" w14:textId="77777777" w:rsidR="00AE19D5" w:rsidRPr="00E241E8" w:rsidRDefault="00AE19D5" w:rsidP="00806A92">
            <w:pPr>
              <w:cnfStyle w:val="000000100000" w:firstRow="0" w:lastRow="0" w:firstColumn="0" w:lastColumn="0" w:oddVBand="0" w:evenVBand="0" w:oddHBand="1" w:evenHBand="0" w:firstRowFirstColumn="0" w:firstRowLastColumn="0" w:lastRowFirstColumn="0" w:lastRowLastColumn="0"/>
              <w:rPr>
                <w:color w:val="EDEDED" w:themeColor="accent3" w:themeTint="33"/>
                <w:sz w:val="48"/>
                <w:szCs w:val="48"/>
              </w:rPr>
            </w:pPr>
          </w:p>
        </w:tc>
      </w:tr>
      <w:tr w:rsidR="00886751" w14:paraId="3F7B6DBD" w14:textId="77777777" w:rsidTr="00DE05B3">
        <w:trPr>
          <w:trHeight w:val="323"/>
        </w:trPr>
        <w:tc>
          <w:tcPr>
            <w:cnfStyle w:val="001000000000" w:firstRow="0" w:lastRow="0" w:firstColumn="1" w:lastColumn="0" w:oddVBand="0" w:evenVBand="0" w:oddHBand="0" w:evenHBand="0" w:firstRowFirstColumn="0" w:firstRowLastColumn="0" w:lastRowFirstColumn="0" w:lastRowLastColumn="0"/>
            <w:tcW w:w="4185" w:type="dxa"/>
          </w:tcPr>
          <w:p w14:paraId="4853EB9B" w14:textId="18B49BA4" w:rsidR="00886751" w:rsidRPr="00E241E8" w:rsidRDefault="00886751" w:rsidP="00806A92">
            <w:pPr>
              <w:rPr>
                <w:b w:val="0"/>
                <w:bCs w:val="0"/>
                <w:sz w:val="48"/>
                <w:szCs w:val="48"/>
              </w:rPr>
            </w:pPr>
          </w:p>
        </w:tc>
        <w:tc>
          <w:tcPr>
            <w:tcW w:w="2309" w:type="dxa"/>
          </w:tcPr>
          <w:p w14:paraId="56826835" w14:textId="1A285794" w:rsidR="00886751" w:rsidRPr="00E241E8" w:rsidRDefault="00886751" w:rsidP="00806A92">
            <w:pPr>
              <w:cnfStyle w:val="000000000000" w:firstRow="0" w:lastRow="0" w:firstColumn="0" w:lastColumn="0" w:oddVBand="0" w:evenVBand="0" w:oddHBand="0" w:evenHBand="0" w:firstRowFirstColumn="0" w:firstRowLastColumn="0" w:lastRowFirstColumn="0" w:lastRowLastColumn="0"/>
              <w:rPr>
                <w:sz w:val="48"/>
                <w:szCs w:val="48"/>
              </w:rPr>
            </w:pPr>
          </w:p>
        </w:tc>
        <w:tc>
          <w:tcPr>
            <w:tcW w:w="2389" w:type="dxa"/>
          </w:tcPr>
          <w:p w14:paraId="54759FAC" w14:textId="77777777" w:rsidR="00DD2EE2" w:rsidRPr="00E241E8" w:rsidRDefault="00DD2EE2" w:rsidP="00806A92">
            <w:pPr>
              <w:cnfStyle w:val="000000000000" w:firstRow="0" w:lastRow="0" w:firstColumn="0" w:lastColumn="0" w:oddVBand="0" w:evenVBand="0" w:oddHBand="0" w:evenHBand="0" w:firstRowFirstColumn="0" w:firstRowLastColumn="0" w:lastRowFirstColumn="0" w:lastRowLastColumn="0"/>
              <w:rPr>
                <w:sz w:val="48"/>
                <w:szCs w:val="48"/>
              </w:rPr>
            </w:pPr>
          </w:p>
        </w:tc>
      </w:tr>
      <w:tr w:rsidR="00DD2EE2" w14:paraId="0E3BBAC1" w14:textId="77777777" w:rsidTr="00DE05B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85" w:type="dxa"/>
          </w:tcPr>
          <w:p w14:paraId="7D2DC6D8" w14:textId="60C52FBD" w:rsidR="00DD2EE2" w:rsidRPr="00E241E8" w:rsidRDefault="00DD2EE2" w:rsidP="00806A92">
            <w:pPr>
              <w:rPr>
                <w:b w:val="0"/>
                <w:bCs w:val="0"/>
                <w:sz w:val="48"/>
                <w:szCs w:val="48"/>
              </w:rPr>
            </w:pPr>
          </w:p>
        </w:tc>
        <w:tc>
          <w:tcPr>
            <w:tcW w:w="2309" w:type="dxa"/>
          </w:tcPr>
          <w:p w14:paraId="60324ED8" w14:textId="63C39202" w:rsidR="00DD2EE2" w:rsidRPr="00E241E8" w:rsidRDefault="00DD2EE2" w:rsidP="00806A92">
            <w:pPr>
              <w:cnfStyle w:val="000000100000" w:firstRow="0" w:lastRow="0" w:firstColumn="0" w:lastColumn="0" w:oddVBand="0" w:evenVBand="0" w:oddHBand="1" w:evenHBand="0" w:firstRowFirstColumn="0" w:firstRowLastColumn="0" w:lastRowFirstColumn="0" w:lastRowLastColumn="0"/>
              <w:rPr>
                <w:sz w:val="48"/>
                <w:szCs w:val="48"/>
              </w:rPr>
            </w:pPr>
          </w:p>
        </w:tc>
        <w:tc>
          <w:tcPr>
            <w:tcW w:w="2389" w:type="dxa"/>
          </w:tcPr>
          <w:p w14:paraId="05079069" w14:textId="77777777" w:rsidR="00DD2EE2" w:rsidRPr="00E241E8" w:rsidRDefault="00DD2EE2" w:rsidP="00806A92">
            <w:pPr>
              <w:cnfStyle w:val="000000100000" w:firstRow="0" w:lastRow="0" w:firstColumn="0" w:lastColumn="0" w:oddVBand="0" w:evenVBand="0" w:oddHBand="1" w:evenHBand="0" w:firstRowFirstColumn="0" w:firstRowLastColumn="0" w:lastRowFirstColumn="0" w:lastRowLastColumn="0"/>
              <w:rPr>
                <w:sz w:val="48"/>
                <w:szCs w:val="48"/>
              </w:rPr>
            </w:pPr>
          </w:p>
        </w:tc>
      </w:tr>
      <w:tr w:rsidR="00DD2EE2" w14:paraId="45BE0986" w14:textId="77777777" w:rsidTr="00DE05B3">
        <w:trPr>
          <w:trHeight w:val="323"/>
        </w:trPr>
        <w:tc>
          <w:tcPr>
            <w:cnfStyle w:val="001000000000" w:firstRow="0" w:lastRow="0" w:firstColumn="1" w:lastColumn="0" w:oddVBand="0" w:evenVBand="0" w:oddHBand="0" w:evenHBand="0" w:firstRowFirstColumn="0" w:firstRowLastColumn="0" w:lastRowFirstColumn="0" w:lastRowLastColumn="0"/>
            <w:tcW w:w="4185" w:type="dxa"/>
          </w:tcPr>
          <w:p w14:paraId="247830D7" w14:textId="39AB2EED" w:rsidR="00DD2EE2" w:rsidRPr="00E241E8" w:rsidRDefault="00DD2EE2" w:rsidP="00806A92">
            <w:pPr>
              <w:rPr>
                <w:b w:val="0"/>
                <w:bCs w:val="0"/>
                <w:i/>
                <w:iCs/>
                <w:sz w:val="48"/>
                <w:szCs w:val="48"/>
              </w:rPr>
            </w:pPr>
          </w:p>
        </w:tc>
        <w:tc>
          <w:tcPr>
            <w:tcW w:w="2309" w:type="dxa"/>
          </w:tcPr>
          <w:p w14:paraId="31F680D2" w14:textId="07C55DC6" w:rsidR="00DD2EE2" w:rsidRPr="00E241E8" w:rsidRDefault="00DD2EE2" w:rsidP="00806A92">
            <w:pPr>
              <w:cnfStyle w:val="000000000000" w:firstRow="0" w:lastRow="0" w:firstColumn="0" w:lastColumn="0" w:oddVBand="0" w:evenVBand="0" w:oddHBand="0" w:evenHBand="0" w:firstRowFirstColumn="0" w:firstRowLastColumn="0" w:lastRowFirstColumn="0" w:lastRowLastColumn="0"/>
              <w:rPr>
                <w:sz w:val="48"/>
                <w:szCs w:val="48"/>
              </w:rPr>
            </w:pPr>
          </w:p>
        </w:tc>
        <w:tc>
          <w:tcPr>
            <w:tcW w:w="2389" w:type="dxa"/>
          </w:tcPr>
          <w:p w14:paraId="58B8D486" w14:textId="77777777" w:rsidR="00DD2EE2" w:rsidRPr="00E241E8" w:rsidRDefault="00DD2EE2" w:rsidP="00806A92">
            <w:pPr>
              <w:cnfStyle w:val="000000000000" w:firstRow="0" w:lastRow="0" w:firstColumn="0" w:lastColumn="0" w:oddVBand="0" w:evenVBand="0" w:oddHBand="0" w:evenHBand="0" w:firstRowFirstColumn="0" w:firstRowLastColumn="0" w:lastRowFirstColumn="0" w:lastRowLastColumn="0"/>
              <w:rPr>
                <w:sz w:val="48"/>
                <w:szCs w:val="48"/>
              </w:rPr>
            </w:pPr>
          </w:p>
        </w:tc>
      </w:tr>
      <w:tr w:rsidR="00DD2EE2" w14:paraId="7AFD168F" w14:textId="77777777" w:rsidTr="00DE05B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85" w:type="dxa"/>
          </w:tcPr>
          <w:p w14:paraId="26802249" w14:textId="21920B05" w:rsidR="00DD2EE2" w:rsidRPr="00E241E8" w:rsidRDefault="00DD2EE2" w:rsidP="00806A92">
            <w:pPr>
              <w:rPr>
                <w:b w:val="0"/>
                <w:bCs w:val="0"/>
                <w:i/>
                <w:iCs/>
                <w:sz w:val="48"/>
                <w:szCs w:val="48"/>
              </w:rPr>
            </w:pPr>
          </w:p>
        </w:tc>
        <w:tc>
          <w:tcPr>
            <w:tcW w:w="2309" w:type="dxa"/>
          </w:tcPr>
          <w:p w14:paraId="1CB024BC" w14:textId="77340433" w:rsidR="00DD2EE2" w:rsidRPr="00E241E8" w:rsidRDefault="00DD2EE2" w:rsidP="00806A92">
            <w:pPr>
              <w:cnfStyle w:val="000000100000" w:firstRow="0" w:lastRow="0" w:firstColumn="0" w:lastColumn="0" w:oddVBand="0" w:evenVBand="0" w:oddHBand="1" w:evenHBand="0" w:firstRowFirstColumn="0" w:firstRowLastColumn="0" w:lastRowFirstColumn="0" w:lastRowLastColumn="0"/>
              <w:rPr>
                <w:sz w:val="48"/>
                <w:szCs w:val="48"/>
              </w:rPr>
            </w:pPr>
          </w:p>
        </w:tc>
        <w:tc>
          <w:tcPr>
            <w:tcW w:w="2389" w:type="dxa"/>
          </w:tcPr>
          <w:p w14:paraId="2C7E0E73" w14:textId="77777777" w:rsidR="00DD2EE2" w:rsidRPr="00E241E8" w:rsidRDefault="00DD2EE2" w:rsidP="00806A92">
            <w:pPr>
              <w:cnfStyle w:val="000000100000" w:firstRow="0" w:lastRow="0" w:firstColumn="0" w:lastColumn="0" w:oddVBand="0" w:evenVBand="0" w:oddHBand="1" w:evenHBand="0" w:firstRowFirstColumn="0" w:firstRowLastColumn="0" w:lastRowFirstColumn="0" w:lastRowLastColumn="0"/>
              <w:rPr>
                <w:sz w:val="48"/>
                <w:szCs w:val="48"/>
              </w:rPr>
            </w:pPr>
          </w:p>
        </w:tc>
      </w:tr>
      <w:tr w:rsidR="00DD2EE2" w14:paraId="200B7FE5" w14:textId="77777777" w:rsidTr="00DE05B3">
        <w:trPr>
          <w:trHeight w:val="323"/>
        </w:trPr>
        <w:tc>
          <w:tcPr>
            <w:cnfStyle w:val="001000000000" w:firstRow="0" w:lastRow="0" w:firstColumn="1" w:lastColumn="0" w:oddVBand="0" w:evenVBand="0" w:oddHBand="0" w:evenHBand="0" w:firstRowFirstColumn="0" w:firstRowLastColumn="0" w:lastRowFirstColumn="0" w:lastRowLastColumn="0"/>
            <w:tcW w:w="4185" w:type="dxa"/>
          </w:tcPr>
          <w:p w14:paraId="5A576269" w14:textId="53FB54B5" w:rsidR="00DD2EE2" w:rsidRPr="00E241E8" w:rsidRDefault="00DD2EE2" w:rsidP="00806A92">
            <w:pPr>
              <w:rPr>
                <w:b w:val="0"/>
                <w:bCs w:val="0"/>
                <w:i/>
                <w:iCs/>
                <w:sz w:val="48"/>
                <w:szCs w:val="48"/>
              </w:rPr>
            </w:pPr>
          </w:p>
        </w:tc>
        <w:tc>
          <w:tcPr>
            <w:tcW w:w="2309" w:type="dxa"/>
          </w:tcPr>
          <w:p w14:paraId="656736BA" w14:textId="7ABD8745" w:rsidR="00DD2EE2" w:rsidRPr="00E241E8" w:rsidRDefault="00DD2EE2" w:rsidP="00806A92">
            <w:pPr>
              <w:cnfStyle w:val="000000000000" w:firstRow="0" w:lastRow="0" w:firstColumn="0" w:lastColumn="0" w:oddVBand="0" w:evenVBand="0" w:oddHBand="0" w:evenHBand="0" w:firstRowFirstColumn="0" w:firstRowLastColumn="0" w:lastRowFirstColumn="0" w:lastRowLastColumn="0"/>
              <w:rPr>
                <w:sz w:val="48"/>
                <w:szCs w:val="48"/>
              </w:rPr>
            </w:pPr>
          </w:p>
        </w:tc>
        <w:tc>
          <w:tcPr>
            <w:tcW w:w="2389" w:type="dxa"/>
          </w:tcPr>
          <w:p w14:paraId="43AB5C94" w14:textId="77777777" w:rsidR="00DD2EE2" w:rsidRPr="00E241E8" w:rsidRDefault="00DD2EE2" w:rsidP="00806A92">
            <w:pPr>
              <w:cnfStyle w:val="000000000000" w:firstRow="0" w:lastRow="0" w:firstColumn="0" w:lastColumn="0" w:oddVBand="0" w:evenVBand="0" w:oddHBand="0" w:evenHBand="0" w:firstRowFirstColumn="0" w:firstRowLastColumn="0" w:lastRowFirstColumn="0" w:lastRowLastColumn="0"/>
              <w:rPr>
                <w:sz w:val="48"/>
                <w:szCs w:val="48"/>
              </w:rPr>
            </w:pPr>
          </w:p>
        </w:tc>
      </w:tr>
      <w:tr w:rsidR="00DD2EE2" w14:paraId="6D1DE5A0" w14:textId="77777777" w:rsidTr="00DE05B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85" w:type="dxa"/>
          </w:tcPr>
          <w:p w14:paraId="74363DC5" w14:textId="10798796" w:rsidR="00DD2EE2" w:rsidRPr="00E241E8" w:rsidRDefault="00DD2EE2" w:rsidP="00806A92">
            <w:pPr>
              <w:rPr>
                <w:b w:val="0"/>
                <w:bCs w:val="0"/>
                <w:i/>
                <w:iCs/>
                <w:sz w:val="48"/>
                <w:szCs w:val="48"/>
              </w:rPr>
            </w:pPr>
          </w:p>
        </w:tc>
        <w:tc>
          <w:tcPr>
            <w:tcW w:w="2309" w:type="dxa"/>
          </w:tcPr>
          <w:p w14:paraId="5FEC96A4" w14:textId="6BED7A4B" w:rsidR="00DD2EE2" w:rsidRPr="00E241E8" w:rsidRDefault="00DD2EE2" w:rsidP="00806A92">
            <w:pPr>
              <w:cnfStyle w:val="000000100000" w:firstRow="0" w:lastRow="0" w:firstColumn="0" w:lastColumn="0" w:oddVBand="0" w:evenVBand="0" w:oddHBand="1" w:evenHBand="0" w:firstRowFirstColumn="0" w:firstRowLastColumn="0" w:lastRowFirstColumn="0" w:lastRowLastColumn="0"/>
              <w:rPr>
                <w:sz w:val="48"/>
                <w:szCs w:val="48"/>
              </w:rPr>
            </w:pPr>
          </w:p>
        </w:tc>
        <w:tc>
          <w:tcPr>
            <w:tcW w:w="2389" w:type="dxa"/>
          </w:tcPr>
          <w:p w14:paraId="125BF6F6" w14:textId="77777777" w:rsidR="00DD2EE2" w:rsidRPr="00E241E8" w:rsidRDefault="00DD2EE2" w:rsidP="00806A92">
            <w:pPr>
              <w:cnfStyle w:val="000000100000" w:firstRow="0" w:lastRow="0" w:firstColumn="0" w:lastColumn="0" w:oddVBand="0" w:evenVBand="0" w:oddHBand="1" w:evenHBand="0" w:firstRowFirstColumn="0" w:firstRowLastColumn="0" w:lastRowFirstColumn="0" w:lastRowLastColumn="0"/>
              <w:rPr>
                <w:sz w:val="48"/>
                <w:szCs w:val="48"/>
              </w:rPr>
            </w:pPr>
          </w:p>
        </w:tc>
      </w:tr>
      <w:tr w:rsidR="00DD2EE2" w14:paraId="06DC248D" w14:textId="77777777" w:rsidTr="00DE05B3">
        <w:trPr>
          <w:trHeight w:val="323"/>
        </w:trPr>
        <w:tc>
          <w:tcPr>
            <w:cnfStyle w:val="001000000000" w:firstRow="0" w:lastRow="0" w:firstColumn="1" w:lastColumn="0" w:oddVBand="0" w:evenVBand="0" w:oddHBand="0" w:evenHBand="0" w:firstRowFirstColumn="0" w:firstRowLastColumn="0" w:lastRowFirstColumn="0" w:lastRowLastColumn="0"/>
            <w:tcW w:w="4185" w:type="dxa"/>
          </w:tcPr>
          <w:p w14:paraId="2EFF160D" w14:textId="0F1F6664" w:rsidR="00DD2EE2" w:rsidRPr="00E241E8" w:rsidRDefault="00DD2EE2" w:rsidP="00806A92">
            <w:pPr>
              <w:rPr>
                <w:b w:val="0"/>
                <w:bCs w:val="0"/>
                <w:i/>
                <w:iCs/>
                <w:sz w:val="48"/>
                <w:szCs w:val="48"/>
              </w:rPr>
            </w:pPr>
          </w:p>
        </w:tc>
        <w:tc>
          <w:tcPr>
            <w:tcW w:w="2309" w:type="dxa"/>
          </w:tcPr>
          <w:p w14:paraId="0AFDABFF" w14:textId="21532E2E" w:rsidR="00DD2EE2" w:rsidRPr="00E241E8" w:rsidRDefault="00DD2EE2" w:rsidP="00806A92">
            <w:pPr>
              <w:cnfStyle w:val="000000000000" w:firstRow="0" w:lastRow="0" w:firstColumn="0" w:lastColumn="0" w:oddVBand="0" w:evenVBand="0" w:oddHBand="0" w:evenHBand="0" w:firstRowFirstColumn="0" w:firstRowLastColumn="0" w:lastRowFirstColumn="0" w:lastRowLastColumn="0"/>
              <w:rPr>
                <w:sz w:val="48"/>
                <w:szCs w:val="48"/>
              </w:rPr>
            </w:pPr>
          </w:p>
        </w:tc>
        <w:tc>
          <w:tcPr>
            <w:tcW w:w="2389" w:type="dxa"/>
          </w:tcPr>
          <w:p w14:paraId="40BBFCC0" w14:textId="77777777" w:rsidR="00DD2EE2" w:rsidRPr="00E241E8" w:rsidRDefault="00DD2EE2" w:rsidP="00806A92">
            <w:pPr>
              <w:cnfStyle w:val="000000000000" w:firstRow="0" w:lastRow="0" w:firstColumn="0" w:lastColumn="0" w:oddVBand="0" w:evenVBand="0" w:oddHBand="0" w:evenHBand="0" w:firstRowFirstColumn="0" w:firstRowLastColumn="0" w:lastRowFirstColumn="0" w:lastRowLastColumn="0"/>
              <w:rPr>
                <w:sz w:val="48"/>
                <w:szCs w:val="48"/>
              </w:rPr>
            </w:pPr>
          </w:p>
        </w:tc>
      </w:tr>
      <w:tr w:rsidR="00DD2EE2" w14:paraId="46EE914A" w14:textId="77777777" w:rsidTr="00DE05B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185" w:type="dxa"/>
          </w:tcPr>
          <w:p w14:paraId="4672DDAF" w14:textId="3AC9FB3F" w:rsidR="00DD2EE2" w:rsidRPr="00E241E8" w:rsidRDefault="00DD2EE2" w:rsidP="00806A92">
            <w:pPr>
              <w:rPr>
                <w:b w:val="0"/>
                <w:bCs w:val="0"/>
                <w:sz w:val="48"/>
                <w:szCs w:val="48"/>
              </w:rPr>
            </w:pPr>
          </w:p>
        </w:tc>
        <w:tc>
          <w:tcPr>
            <w:tcW w:w="2309" w:type="dxa"/>
          </w:tcPr>
          <w:p w14:paraId="3FAF5FB6" w14:textId="42A7CF56" w:rsidR="00DD2EE2" w:rsidRPr="00E241E8" w:rsidRDefault="00DD2EE2" w:rsidP="00806A92">
            <w:pPr>
              <w:cnfStyle w:val="000000100000" w:firstRow="0" w:lastRow="0" w:firstColumn="0" w:lastColumn="0" w:oddVBand="0" w:evenVBand="0" w:oddHBand="1" w:evenHBand="0" w:firstRowFirstColumn="0" w:firstRowLastColumn="0" w:lastRowFirstColumn="0" w:lastRowLastColumn="0"/>
              <w:rPr>
                <w:sz w:val="48"/>
                <w:szCs w:val="48"/>
              </w:rPr>
            </w:pPr>
          </w:p>
        </w:tc>
        <w:tc>
          <w:tcPr>
            <w:tcW w:w="2389" w:type="dxa"/>
          </w:tcPr>
          <w:p w14:paraId="45F79A7D" w14:textId="77777777" w:rsidR="00DD2EE2" w:rsidRPr="00E241E8" w:rsidRDefault="00DD2EE2" w:rsidP="00806A92">
            <w:pPr>
              <w:cnfStyle w:val="000000100000" w:firstRow="0" w:lastRow="0" w:firstColumn="0" w:lastColumn="0" w:oddVBand="0" w:evenVBand="0" w:oddHBand="1" w:evenHBand="0" w:firstRowFirstColumn="0" w:firstRowLastColumn="0" w:lastRowFirstColumn="0" w:lastRowLastColumn="0"/>
              <w:rPr>
                <w:sz w:val="48"/>
                <w:szCs w:val="48"/>
              </w:rPr>
            </w:pPr>
          </w:p>
        </w:tc>
      </w:tr>
      <w:tr w:rsidR="00DD2EE2" w14:paraId="468947B8" w14:textId="77777777" w:rsidTr="00DE05B3">
        <w:trPr>
          <w:trHeight w:val="304"/>
        </w:trPr>
        <w:tc>
          <w:tcPr>
            <w:cnfStyle w:val="001000000000" w:firstRow="0" w:lastRow="0" w:firstColumn="1" w:lastColumn="0" w:oddVBand="0" w:evenVBand="0" w:oddHBand="0" w:evenHBand="0" w:firstRowFirstColumn="0" w:firstRowLastColumn="0" w:lastRowFirstColumn="0" w:lastRowLastColumn="0"/>
            <w:tcW w:w="4185" w:type="dxa"/>
          </w:tcPr>
          <w:p w14:paraId="02926B7A" w14:textId="08690260" w:rsidR="00DD2EE2" w:rsidRPr="00E241E8" w:rsidRDefault="00DD2EE2" w:rsidP="00806A92">
            <w:pPr>
              <w:rPr>
                <w:b w:val="0"/>
                <w:bCs w:val="0"/>
                <w:sz w:val="48"/>
                <w:szCs w:val="48"/>
              </w:rPr>
            </w:pPr>
          </w:p>
        </w:tc>
        <w:tc>
          <w:tcPr>
            <w:tcW w:w="2309" w:type="dxa"/>
          </w:tcPr>
          <w:p w14:paraId="4631DB05" w14:textId="4C483012" w:rsidR="00DD2EE2" w:rsidRPr="00E241E8" w:rsidRDefault="00DD2EE2" w:rsidP="00806A92">
            <w:pPr>
              <w:cnfStyle w:val="000000000000" w:firstRow="0" w:lastRow="0" w:firstColumn="0" w:lastColumn="0" w:oddVBand="0" w:evenVBand="0" w:oddHBand="0" w:evenHBand="0" w:firstRowFirstColumn="0" w:firstRowLastColumn="0" w:lastRowFirstColumn="0" w:lastRowLastColumn="0"/>
              <w:rPr>
                <w:sz w:val="48"/>
                <w:szCs w:val="48"/>
              </w:rPr>
            </w:pPr>
          </w:p>
        </w:tc>
        <w:tc>
          <w:tcPr>
            <w:tcW w:w="2389" w:type="dxa"/>
          </w:tcPr>
          <w:p w14:paraId="01AC3566" w14:textId="71B87407" w:rsidR="00AC7546" w:rsidRPr="00E241E8" w:rsidRDefault="00AC7546" w:rsidP="00806A92">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 w:val="48"/>
                <w:szCs w:val="48"/>
                <w:shd w:val="clear" w:color="auto" w:fill="FFFFFF"/>
              </w:rPr>
            </w:pPr>
          </w:p>
        </w:tc>
      </w:tr>
    </w:tbl>
    <w:p w14:paraId="1B914A7F" w14:textId="77777777" w:rsidR="00573F7D" w:rsidRPr="00806A92" w:rsidRDefault="00573F7D" w:rsidP="00806A92"/>
    <w:p w14:paraId="2FE39CCA" w14:textId="77777777" w:rsidR="00573F7D" w:rsidRDefault="00573F7D">
      <w:pPr>
        <w:rPr>
          <w:rFonts w:eastAsiaTheme="majorEastAsia" w:cstheme="majorBidi"/>
          <w:b/>
          <w:color w:val="2F5496" w:themeColor="accent1" w:themeShade="BF"/>
          <w:sz w:val="32"/>
          <w:szCs w:val="32"/>
        </w:rPr>
      </w:pPr>
      <w:r>
        <w:br w:type="page"/>
      </w:r>
    </w:p>
    <w:bookmarkEnd w:id="1"/>
    <w:p w14:paraId="289047CE" w14:textId="77777777" w:rsidR="00140D38" w:rsidRDefault="00140D38" w:rsidP="0080072F">
      <w:pPr>
        <w:pStyle w:val="Heading1"/>
      </w:pPr>
    </w:p>
    <w:p w14:paraId="00B32231" w14:textId="70A38E8B" w:rsidR="00140D38" w:rsidRPr="00140D38" w:rsidRDefault="00140D38" w:rsidP="00140D38">
      <w:pPr>
        <w:rPr>
          <w:rFonts w:cs="Arial"/>
          <w:b/>
          <w:bCs/>
          <w:color w:val="2F5496" w:themeColor="accent1" w:themeShade="BF"/>
          <w:sz w:val="32"/>
          <w:szCs w:val="32"/>
        </w:rPr>
      </w:pPr>
      <w:r w:rsidRPr="00140D38">
        <w:rPr>
          <w:rFonts w:cs="Arial"/>
          <w:b/>
          <w:bCs/>
          <w:color w:val="2F5496" w:themeColor="accent1" w:themeShade="BF"/>
          <w:sz w:val="32"/>
          <w:szCs w:val="32"/>
        </w:rPr>
        <w:t>Signature and Acknowledgement of Risk</w:t>
      </w:r>
    </w:p>
    <w:p w14:paraId="733374C9" w14:textId="77777777" w:rsidR="00140D38" w:rsidRDefault="00140D38" w:rsidP="00140D38">
      <w:pPr>
        <w:pStyle w:val="Title"/>
        <w:rPr>
          <w:rFonts w:ascii="Arial" w:hAnsi="Arial" w:cs="Arial"/>
          <w:b/>
          <w:bCs/>
          <w:sz w:val="28"/>
          <w:szCs w:val="28"/>
        </w:rPr>
      </w:pPr>
    </w:p>
    <w:p w14:paraId="18142BB3" w14:textId="4B7BA5BF" w:rsidR="00140D38" w:rsidRDefault="00140D38" w:rsidP="00140D38">
      <w:pPr>
        <w:spacing w:line="360" w:lineRule="auto"/>
        <w:rPr>
          <w:rFonts w:cs="Arial"/>
          <w:i/>
          <w:iCs/>
        </w:rPr>
      </w:pPr>
      <w:r>
        <w:rPr>
          <w:b/>
          <w:bCs/>
          <w:noProof/>
          <w:sz w:val="24"/>
          <w:szCs w:val="24"/>
          <w14:shadow w14:blurRad="50800" w14:dist="38100" w14:dir="2700000" w14:sx="100000" w14:sy="100000" w14:kx="0" w14:ky="0" w14:algn="tl">
            <w14:srgbClr w14:val="000000">
              <w14:alpha w14:val="60000"/>
            </w14:srgbClr>
          </w14:shadow>
        </w:rPr>
        <w:drawing>
          <wp:anchor distT="0" distB="0" distL="114300" distR="114300" simplePos="0" relativeHeight="251660288" behindDoc="0" locked="0" layoutInCell="1" allowOverlap="1" wp14:anchorId="0480FDF7" wp14:editId="4445BB88">
            <wp:simplePos x="0" y="0"/>
            <wp:positionH relativeFrom="column">
              <wp:posOffset>4676775</wp:posOffset>
            </wp:positionH>
            <wp:positionV relativeFrom="paragraph">
              <wp:posOffset>19050</wp:posOffset>
            </wp:positionV>
            <wp:extent cx="561975" cy="161925"/>
            <wp:effectExtent l="0" t="0" r="9525" b="952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pic:spPr>
                </pic:pic>
              </a:graphicData>
            </a:graphic>
          </wp:anchor>
        </w:drawing>
      </w:r>
      <w:r>
        <w:rPr>
          <w:rFonts w:cs="Arial"/>
        </w:rPr>
        <w:t xml:space="preserve">We, the undersigned, understand that the agents used in </w:t>
      </w:r>
      <w:r>
        <w:rPr>
          <w:rFonts w:cs="Arial"/>
          <w:i/>
          <w:iCs/>
        </w:rPr>
        <w:t xml:space="preserve">Building Name: </w:t>
      </w:r>
    </w:p>
    <w:p w14:paraId="58DD279A" w14:textId="21177C92" w:rsidR="00140D38" w:rsidRDefault="00140D38" w:rsidP="00140D38">
      <w:pPr>
        <w:spacing w:line="360" w:lineRule="auto"/>
        <w:rPr>
          <w:rFonts w:cs="Arial"/>
        </w:rPr>
      </w:pPr>
      <w:r>
        <w:rPr>
          <w:b/>
          <w:bCs/>
          <w:noProof/>
          <w:sz w:val="24"/>
          <w:szCs w:val="24"/>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66326DD8" wp14:editId="423819D6">
            <wp:simplePos x="0" y="0"/>
            <wp:positionH relativeFrom="column">
              <wp:posOffset>552450</wp:posOffset>
            </wp:positionH>
            <wp:positionV relativeFrom="paragraph">
              <wp:posOffset>10160</wp:posOffset>
            </wp:positionV>
            <wp:extent cx="561975" cy="161925"/>
            <wp:effectExtent l="0" t="0" r="9525" b="9525"/>
            <wp:wrapTight wrapText="bothSides">
              <wp:wrapPolygon edited="0">
                <wp:start x="0" y="0"/>
                <wp:lineTo x="0" y="20329"/>
                <wp:lineTo x="21234" y="20329"/>
                <wp:lineTo x="21234"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pic:spPr>
                </pic:pic>
              </a:graphicData>
            </a:graphic>
          </wp:anchor>
        </w:drawing>
      </w:r>
      <w:r>
        <w:rPr>
          <w:rFonts w:cs="Arial"/>
          <w:i/>
          <w:iCs/>
        </w:rPr>
        <w:t>Room:</w:t>
      </w:r>
      <w:r>
        <w:rPr>
          <w:rFonts w:cs="Arial"/>
        </w:rPr>
        <w:t xml:space="preserve">  are potentially hazardous.  We have read and understand this manual and agree to follow the stated policies and procedures.  All laboratory personnel are required to </w:t>
      </w:r>
      <w:r w:rsidR="00F17558">
        <w:rPr>
          <w:rFonts w:cs="Arial"/>
        </w:rPr>
        <w:t>complete the</w:t>
      </w:r>
      <w:r>
        <w:rPr>
          <w:rFonts w:cs="Arial"/>
        </w:rPr>
        <w:t xml:space="preserve"> “</w:t>
      </w:r>
      <w:r w:rsidR="00F17558">
        <w:rPr>
          <w:rFonts w:cs="Arial"/>
        </w:rPr>
        <w:t xml:space="preserve">Introduction to </w:t>
      </w:r>
      <w:r>
        <w:rPr>
          <w:rFonts w:cs="Arial"/>
        </w:rPr>
        <w:t>Lab Safety” and “Working Safely with HIV and Other Bloodborne Pathogens</w:t>
      </w:r>
      <w:r w:rsidRPr="00EE5935">
        <w:rPr>
          <w:rFonts w:cs="Arial"/>
        </w:rPr>
        <w:t>”</w:t>
      </w:r>
      <w:r w:rsidR="00F17558">
        <w:rPr>
          <w:rFonts w:cs="Arial"/>
        </w:rPr>
        <w:t xml:space="preserve"> courses</w:t>
      </w:r>
      <w:r w:rsidRPr="00EE5935">
        <w:rPr>
          <w:rFonts w:cs="Arial"/>
        </w:rPr>
        <w:t xml:space="preserve"> </w:t>
      </w:r>
      <w:r w:rsidRPr="00EE5935">
        <w:rPr>
          <w:rStyle w:val="HTMLTypewriter"/>
          <w:rFonts w:ascii="Arial" w:eastAsiaTheme="minorHAnsi" w:hAnsi="Arial" w:cs="Arial"/>
          <w:sz w:val="22"/>
          <w:szCs w:val="22"/>
        </w:rPr>
        <w:t>prior to working with human, and non-human primate, derived materials. Completion of the on-line refresher course is required every year thereafter</w:t>
      </w:r>
      <w:r w:rsidRPr="00EE5935">
        <w:rPr>
          <w:rFonts w:cs="Arial"/>
        </w:rPr>
        <w:t>.</w:t>
      </w:r>
      <w:r>
        <w:rPr>
          <w:rFonts w:cs="Arial"/>
        </w:rPr>
        <w:t xml:space="preserve"> </w:t>
      </w:r>
      <w:r>
        <w:rPr>
          <w:rFonts w:cs="Arial"/>
          <w14:shadow w14:blurRad="50800" w14:dist="38100" w14:dir="2700000" w14:sx="100000" w14:sy="100000" w14:kx="0" w14:ky="0" w14:algn="tl">
            <w14:srgbClr w14:val="000000">
              <w14:alpha w14:val="60000"/>
            </w14:srgbClr>
          </w14:shadow>
        </w:rPr>
        <w:t> </w:t>
      </w:r>
    </w:p>
    <w:tbl>
      <w:tblPr>
        <w:tblStyle w:val="GridTable4-Accent3"/>
        <w:tblW w:w="0" w:type="auto"/>
        <w:tblLook w:val="04A0" w:firstRow="1" w:lastRow="0" w:firstColumn="1" w:lastColumn="0" w:noHBand="0" w:noVBand="1"/>
      </w:tblPr>
      <w:tblGrid>
        <w:gridCol w:w="3955"/>
        <w:gridCol w:w="3150"/>
        <w:gridCol w:w="1778"/>
      </w:tblGrid>
      <w:tr w:rsidR="00140D38" w:rsidRPr="00886751" w14:paraId="3E3ED730" w14:textId="77777777" w:rsidTr="00140D38">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955" w:type="dxa"/>
            <w:tcBorders>
              <w:top w:val="single" w:sz="4" w:space="0" w:color="auto"/>
              <w:left w:val="single" w:sz="4" w:space="0" w:color="auto"/>
              <w:bottom w:val="single" w:sz="4" w:space="0" w:color="auto"/>
              <w:right w:val="single" w:sz="4" w:space="0" w:color="auto"/>
            </w:tcBorders>
          </w:tcPr>
          <w:p w14:paraId="6E9FA911" w14:textId="3B78ACB4" w:rsidR="00140D38" w:rsidRPr="003D5F60" w:rsidRDefault="00140D38" w:rsidP="00F83AE4">
            <w:pPr>
              <w:pStyle w:val="Header"/>
              <w:rPr>
                <w:rFonts w:cs="Arial"/>
                <w:b w:val="0"/>
                <w:bCs w:val="0"/>
                <w:color w:val="auto"/>
              </w:rPr>
            </w:pPr>
            <w:r>
              <w:rPr>
                <w:rFonts w:cs="Arial"/>
                <w:color w:val="000000" w:themeColor="text1"/>
              </w:rPr>
              <w:t>Name</w:t>
            </w:r>
          </w:p>
        </w:tc>
        <w:tc>
          <w:tcPr>
            <w:tcW w:w="3150" w:type="dxa"/>
            <w:tcBorders>
              <w:top w:val="single" w:sz="4" w:space="0" w:color="auto"/>
              <w:left w:val="single" w:sz="4" w:space="0" w:color="auto"/>
              <w:bottom w:val="single" w:sz="4" w:space="0" w:color="auto"/>
              <w:right w:val="single" w:sz="4" w:space="0" w:color="auto"/>
            </w:tcBorders>
          </w:tcPr>
          <w:p w14:paraId="7E25DE0B" w14:textId="1D007282" w:rsidR="00140D38" w:rsidRPr="00886751" w:rsidRDefault="00140D38" w:rsidP="00F83AE4">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Signature</w:t>
            </w:r>
          </w:p>
        </w:tc>
        <w:tc>
          <w:tcPr>
            <w:tcW w:w="1778" w:type="dxa"/>
            <w:tcBorders>
              <w:top w:val="single" w:sz="4" w:space="0" w:color="auto"/>
              <w:left w:val="single" w:sz="4" w:space="0" w:color="auto"/>
              <w:bottom w:val="single" w:sz="4" w:space="0" w:color="auto"/>
              <w:right w:val="single" w:sz="4" w:space="0" w:color="auto"/>
            </w:tcBorders>
          </w:tcPr>
          <w:p w14:paraId="0DC4495B" w14:textId="29FEBB66" w:rsidR="00140D38" w:rsidRPr="00886751" w:rsidRDefault="00140D38" w:rsidP="00F83AE4">
            <w:pPr>
              <w:cnfStyle w:val="100000000000" w:firstRow="1" w:lastRow="0" w:firstColumn="0" w:lastColumn="0" w:oddVBand="0" w:evenVBand="0" w:oddHBand="0" w:evenHBand="0" w:firstRowFirstColumn="0" w:firstRowLastColumn="0" w:lastRowFirstColumn="0" w:lastRowLastColumn="0"/>
              <w:rPr>
                <w:color w:val="000000" w:themeColor="text1"/>
              </w:rPr>
            </w:pPr>
            <w:r>
              <w:rPr>
                <w:rFonts w:cs="Arial"/>
                <w:color w:val="000000" w:themeColor="text1"/>
              </w:rPr>
              <w:t>Date</w:t>
            </w:r>
          </w:p>
        </w:tc>
      </w:tr>
      <w:tr w:rsidR="00140D38" w:rsidRPr="00E241E8" w14:paraId="4928DD25" w14:textId="77777777" w:rsidTr="00140D3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955" w:type="dxa"/>
            <w:tcBorders>
              <w:top w:val="single" w:sz="4" w:space="0" w:color="auto"/>
            </w:tcBorders>
          </w:tcPr>
          <w:p w14:paraId="0BD22FF2" w14:textId="77777777" w:rsidR="00140D38" w:rsidRPr="00E241E8" w:rsidRDefault="00140D38" w:rsidP="00F83AE4">
            <w:pPr>
              <w:rPr>
                <w:sz w:val="48"/>
                <w:szCs w:val="48"/>
              </w:rPr>
            </w:pPr>
          </w:p>
        </w:tc>
        <w:tc>
          <w:tcPr>
            <w:tcW w:w="3150" w:type="dxa"/>
            <w:tcBorders>
              <w:top w:val="single" w:sz="4" w:space="0" w:color="auto"/>
            </w:tcBorders>
          </w:tcPr>
          <w:p w14:paraId="198612C9"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c>
          <w:tcPr>
            <w:tcW w:w="1778" w:type="dxa"/>
            <w:tcBorders>
              <w:top w:val="single" w:sz="4" w:space="0" w:color="auto"/>
            </w:tcBorders>
          </w:tcPr>
          <w:p w14:paraId="478B6184"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r>
      <w:tr w:rsidR="00140D38" w:rsidRPr="00E241E8" w14:paraId="01635D51" w14:textId="77777777" w:rsidTr="00140D38">
        <w:trPr>
          <w:trHeight w:val="304"/>
        </w:trPr>
        <w:tc>
          <w:tcPr>
            <w:cnfStyle w:val="001000000000" w:firstRow="0" w:lastRow="0" w:firstColumn="1" w:lastColumn="0" w:oddVBand="0" w:evenVBand="0" w:oddHBand="0" w:evenHBand="0" w:firstRowFirstColumn="0" w:firstRowLastColumn="0" w:lastRowFirstColumn="0" w:lastRowLastColumn="0"/>
            <w:tcW w:w="3955" w:type="dxa"/>
          </w:tcPr>
          <w:p w14:paraId="3FB8A643" w14:textId="77777777" w:rsidR="00140D38" w:rsidRPr="00E241E8" w:rsidRDefault="00140D38" w:rsidP="00F83AE4">
            <w:pPr>
              <w:rPr>
                <w:sz w:val="48"/>
                <w:szCs w:val="48"/>
              </w:rPr>
            </w:pPr>
          </w:p>
        </w:tc>
        <w:tc>
          <w:tcPr>
            <w:tcW w:w="3150" w:type="dxa"/>
          </w:tcPr>
          <w:p w14:paraId="29CF3FAB"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c>
          <w:tcPr>
            <w:tcW w:w="1778" w:type="dxa"/>
          </w:tcPr>
          <w:p w14:paraId="0ECA491C"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r>
      <w:tr w:rsidR="00140D38" w:rsidRPr="00E241E8" w14:paraId="600936D4" w14:textId="77777777" w:rsidTr="00140D3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955" w:type="dxa"/>
          </w:tcPr>
          <w:p w14:paraId="5BFF8AFF" w14:textId="77777777" w:rsidR="00140D38" w:rsidRPr="00E241E8" w:rsidRDefault="00140D38" w:rsidP="00F83AE4">
            <w:pPr>
              <w:rPr>
                <w:b w:val="0"/>
                <w:bCs w:val="0"/>
                <w:sz w:val="48"/>
                <w:szCs w:val="48"/>
              </w:rPr>
            </w:pPr>
          </w:p>
        </w:tc>
        <w:tc>
          <w:tcPr>
            <w:tcW w:w="3150" w:type="dxa"/>
          </w:tcPr>
          <w:p w14:paraId="758436AC"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c>
          <w:tcPr>
            <w:tcW w:w="1778" w:type="dxa"/>
          </w:tcPr>
          <w:p w14:paraId="6C324836"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r>
      <w:tr w:rsidR="00140D38" w:rsidRPr="00E241E8" w14:paraId="3BB64311" w14:textId="77777777" w:rsidTr="00140D38">
        <w:trPr>
          <w:trHeight w:val="304"/>
        </w:trPr>
        <w:tc>
          <w:tcPr>
            <w:cnfStyle w:val="001000000000" w:firstRow="0" w:lastRow="0" w:firstColumn="1" w:lastColumn="0" w:oddVBand="0" w:evenVBand="0" w:oddHBand="0" w:evenHBand="0" w:firstRowFirstColumn="0" w:firstRowLastColumn="0" w:lastRowFirstColumn="0" w:lastRowLastColumn="0"/>
            <w:tcW w:w="3955" w:type="dxa"/>
          </w:tcPr>
          <w:p w14:paraId="5C893C8E" w14:textId="77777777" w:rsidR="00140D38" w:rsidRPr="00E241E8" w:rsidRDefault="00140D38" w:rsidP="00F83AE4">
            <w:pPr>
              <w:rPr>
                <w:b w:val="0"/>
                <w:bCs w:val="0"/>
                <w:sz w:val="48"/>
                <w:szCs w:val="48"/>
              </w:rPr>
            </w:pPr>
          </w:p>
        </w:tc>
        <w:tc>
          <w:tcPr>
            <w:tcW w:w="3150" w:type="dxa"/>
          </w:tcPr>
          <w:p w14:paraId="17E4EFC0"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c>
          <w:tcPr>
            <w:tcW w:w="1778" w:type="dxa"/>
          </w:tcPr>
          <w:p w14:paraId="44CE5C43"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r>
      <w:tr w:rsidR="00140D38" w:rsidRPr="00E241E8" w14:paraId="1F3B0CAE" w14:textId="77777777" w:rsidTr="00140D3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955" w:type="dxa"/>
          </w:tcPr>
          <w:p w14:paraId="5A37BD03" w14:textId="77777777" w:rsidR="00140D38" w:rsidRPr="00E241E8" w:rsidRDefault="00140D38" w:rsidP="00F83AE4">
            <w:pPr>
              <w:rPr>
                <w:b w:val="0"/>
                <w:bCs w:val="0"/>
                <w:sz w:val="48"/>
                <w:szCs w:val="48"/>
              </w:rPr>
            </w:pPr>
          </w:p>
        </w:tc>
        <w:tc>
          <w:tcPr>
            <w:tcW w:w="3150" w:type="dxa"/>
          </w:tcPr>
          <w:p w14:paraId="275B1420"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c>
          <w:tcPr>
            <w:tcW w:w="1778" w:type="dxa"/>
            <w:shd w:val="clear" w:color="auto" w:fill="F2F2F2" w:themeFill="background1" w:themeFillShade="F2"/>
          </w:tcPr>
          <w:p w14:paraId="6C1FE903"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color w:val="EDEDED" w:themeColor="accent3" w:themeTint="33"/>
                <w:sz w:val="48"/>
                <w:szCs w:val="48"/>
              </w:rPr>
            </w:pPr>
          </w:p>
        </w:tc>
      </w:tr>
      <w:tr w:rsidR="00140D38" w:rsidRPr="00E241E8" w14:paraId="19D6EABD" w14:textId="77777777" w:rsidTr="00140D38">
        <w:trPr>
          <w:trHeight w:val="323"/>
        </w:trPr>
        <w:tc>
          <w:tcPr>
            <w:cnfStyle w:val="001000000000" w:firstRow="0" w:lastRow="0" w:firstColumn="1" w:lastColumn="0" w:oddVBand="0" w:evenVBand="0" w:oddHBand="0" w:evenHBand="0" w:firstRowFirstColumn="0" w:firstRowLastColumn="0" w:lastRowFirstColumn="0" w:lastRowLastColumn="0"/>
            <w:tcW w:w="3955" w:type="dxa"/>
          </w:tcPr>
          <w:p w14:paraId="37623AF7" w14:textId="77777777" w:rsidR="00140D38" w:rsidRPr="00E241E8" w:rsidRDefault="00140D38" w:rsidP="00F83AE4">
            <w:pPr>
              <w:rPr>
                <w:b w:val="0"/>
                <w:bCs w:val="0"/>
                <w:sz w:val="48"/>
                <w:szCs w:val="48"/>
              </w:rPr>
            </w:pPr>
          </w:p>
        </w:tc>
        <w:tc>
          <w:tcPr>
            <w:tcW w:w="3150" w:type="dxa"/>
          </w:tcPr>
          <w:p w14:paraId="4E7CE1B5"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c>
          <w:tcPr>
            <w:tcW w:w="1778" w:type="dxa"/>
          </w:tcPr>
          <w:p w14:paraId="27EBBDA3"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r>
      <w:tr w:rsidR="00140D38" w:rsidRPr="00E241E8" w14:paraId="358830EE" w14:textId="77777777" w:rsidTr="00140D38">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955" w:type="dxa"/>
          </w:tcPr>
          <w:p w14:paraId="64F803F0" w14:textId="77777777" w:rsidR="00140D38" w:rsidRPr="00E241E8" w:rsidRDefault="00140D38" w:rsidP="00F83AE4">
            <w:pPr>
              <w:rPr>
                <w:b w:val="0"/>
                <w:bCs w:val="0"/>
                <w:sz w:val="48"/>
                <w:szCs w:val="48"/>
              </w:rPr>
            </w:pPr>
          </w:p>
        </w:tc>
        <w:tc>
          <w:tcPr>
            <w:tcW w:w="3150" w:type="dxa"/>
          </w:tcPr>
          <w:p w14:paraId="19BBFFA2"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c>
          <w:tcPr>
            <w:tcW w:w="1778" w:type="dxa"/>
          </w:tcPr>
          <w:p w14:paraId="5C4A9D7A"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r>
      <w:tr w:rsidR="00140D38" w:rsidRPr="00E241E8" w14:paraId="6DDDD195" w14:textId="77777777" w:rsidTr="00140D38">
        <w:trPr>
          <w:trHeight w:val="323"/>
        </w:trPr>
        <w:tc>
          <w:tcPr>
            <w:cnfStyle w:val="001000000000" w:firstRow="0" w:lastRow="0" w:firstColumn="1" w:lastColumn="0" w:oddVBand="0" w:evenVBand="0" w:oddHBand="0" w:evenHBand="0" w:firstRowFirstColumn="0" w:firstRowLastColumn="0" w:lastRowFirstColumn="0" w:lastRowLastColumn="0"/>
            <w:tcW w:w="3955" w:type="dxa"/>
          </w:tcPr>
          <w:p w14:paraId="44C9EB9C" w14:textId="77777777" w:rsidR="00140D38" w:rsidRPr="00E241E8" w:rsidRDefault="00140D38" w:rsidP="00F83AE4">
            <w:pPr>
              <w:rPr>
                <w:b w:val="0"/>
                <w:bCs w:val="0"/>
                <w:i/>
                <w:iCs/>
                <w:sz w:val="48"/>
                <w:szCs w:val="48"/>
              </w:rPr>
            </w:pPr>
          </w:p>
        </w:tc>
        <w:tc>
          <w:tcPr>
            <w:tcW w:w="3150" w:type="dxa"/>
          </w:tcPr>
          <w:p w14:paraId="11608EA6"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c>
          <w:tcPr>
            <w:tcW w:w="1778" w:type="dxa"/>
          </w:tcPr>
          <w:p w14:paraId="404D3B04"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r>
      <w:tr w:rsidR="00140D38" w:rsidRPr="00E241E8" w14:paraId="3793E968" w14:textId="77777777" w:rsidTr="00140D38">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955" w:type="dxa"/>
          </w:tcPr>
          <w:p w14:paraId="71BE25C1" w14:textId="77777777" w:rsidR="00140D38" w:rsidRPr="00E241E8" w:rsidRDefault="00140D38" w:rsidP="00F83AE4">
            <w:pPr>
              <w:rPr>
                <w:b w:val="0"/>
                <w:bCs w:val="0"/>
                <w:i/>
                <w:iCs/>
                <w:sz w:val="48"/>
                <w:szCs w:val="48"/>
              </w:rPr>
            </w:pPr>
          </w:p>
        </w:tc>
        <w:tc>
          <w:tcPr>
            <w:tcW w:w="3150" w:type="dxa"/>
          </w:tcPr>
          <w:p w14:paraId="26BB5B38"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c>
          <w:tcPr>
            <w:tcW w:w="1778" w:type="dxa"/>
          </w:tcPr>
          <w:p w14:paraId="7CA741CA"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r>
      <w:tr w:rsidR="00140D38" w:rsidRPr="00E241E8" w14:paraId="0FBFD425" w14:textId="77777777" w:rsidTr="00140D38">
        <w:trPr>
          <w:trHeight w:val="323"/>
        </w:trPr>
        <w:tc>
          <w:tcPr>
            <w:cnfStyle w:val="001000000000" w:firstRow="0" w:lastRow="0" w:firstColumn="1" w:lastColumn="0" w:oddVBand="0" w:evenVBand="0" w:oddHBand="0" w:evenHBand="0" w:firstRowFirstColumn="0" w:firstRowLastColumn="0" w:lastRowFirstColumn="0" w:lastRowLastColumn="0"/>
            <w:tcW w:w="3955" w:type="dxa"/>
          </w:tcPr>
          <w:p w14:paraId="406DFA8C" w14:textId="77777777" w:rsidR="00140D38" w:rsidRPr="00E241E8" w:rsidRDefault="00140D38" w:rsidP="00F83AE4">
            <w:pPr>
              <w:rPr>
                <w:b w:val="0"/>
                <w:bCs w:val="0"/>
                <w:i/>
                <w:iCs/>
                <w:sz w:val="48"/>
                <w:szCs w:val="48"/>
              </w:rPr>
            </w:pPr>
          </w:p>
        </w:tc>
        <w:tc>
          <w:tcPr>
            <w:tcW w:w="3150" w:type="dxa"/>
          </w:tcPr>
          <w:p w14:paraId="56319670"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c>
          <w:tcPr>
            <w:tcW w:w="1778" w:type="dxa"/>
          </w:tcPr>
          <w:p w14:paraId="47652EC3"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r>
      <w:tr w:rsidR="00140D38" w:rsidRPr="00E241E8" w14:paraId="5885DE35" w14:textId="77777777" w:rsidTr="00140D38">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955" w:type="dxa"/>
          </w:tcPr>
          <w:p w14:paraId="4D3A5918" w14:textId="77777777" w:rsidR="00140D38" w:rsidRPr="00E241E8" w:rsidRDefault="00140D38" w:rsidP="00F83AE4">
            <w:pPr>
              <w:rPr>
                <w:b w:val="0"/>
                <w:bCs w:val="0"/>
                <w:i/>
                <w:iCs/>
                <w:sz w:val="48"/>
                <w:szCs w:val="48"/>
              </w:rPr>
            </w:pPr>
          </w:p>
        </w:tc>
        <w:tc>
          <w:tcPr>
            <w:tcW w:w="3150" w:type="dxa"/>
          </w:tcPr>
          <w:p w14:paraId="5278DCC3"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c>
          <w:tcPr>
            <w:tcW w:w="1778" w:type="dxa"/>
          </w:tcPr>
          <w:p w14:paraId="01BA0607"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r>
      <w:tr w:rsidR="00140D38" w:rsidRPr="00E241E8" w14:paraId="4B6F1D5B" w14:textId="77777777" w:rsidTr="00140D38">
        <w:trPr>
          <w:trHeight w:val="323"/>
        </w:trPr>
        <w:tc>
          <w:tcPr>
            <w:cnfStyle w:val="001000000000" w:firstRow="0" w:lastRow="0" w:firstColumn="1" w:lastColumn="0" w:oddVBand="0" w:evenVBand="0" w:oddHBand="0" w:evenHBand="0" w:firstRowFirstColumn="0" w:firstRowLastColumn="0" w:lastRowFirstColumn="0" w:lastRowLastColumn="0"/>
            <w:tcW w:w="3955" w:type="dxa"/>
          </w:tcPr>
          <w:p w14:paraId="22AA82C8" w14:textId="77777777" w:rsidR="00140D38" w:rsidRPr="00E241E8" w:rsidRDefault="00140D38" w:rsidP="00F83AE4">
            <w:pPr>
              <w:rPr>
                <w:b w:val="0"/>
                <w:bCs w:val="0"/>
                <w:i/>
                <w:iCs/>
                <w:sz w:val="48"/>
                <w:szCs w:val="48"/>
              </w:rPr>
            </w:pPr>
          </w:p>
        </w:tc>
        <w:tc>
          <w:tcPr>
            <w:tcW w:w="3150" w:type="dxa"/>
          </w:tcPr>
          <w:p w14:paraId="0267EFE0"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c>
          <w:tcPr>
            <w:tcW w:w="1778" w:type="dxa"/>
          </w:tcPr>
          <w:p w14:paraId="686A2735" w14:textId="77777777" w:rsidR="00140D38" w:rsidRPr="00E241E8" w:rsidRDefault="00140D38" w:rsidP="00F83AE4">
            <w:pPr>
              <w:cnfStyle w:val="000000000000" w:firstRow="0" w:lastRow="0" w:firstColumn="0" w:lastColumn="0" w:oddVBand="0" w:evenVBand="0" w:oddHBand="0" w:evenHBand="0" w:firstRowFirstColumn="0" w:firstRowLastColumn="0" w:lastRowFirstColumn="0" w:lastRowLastColumn="0"/>
              <w:rPr>
                <w:sz w:val="48"/>
                <w:szCs w:val="48"/>
              </w:rPr>
            </w:pPr>
          </w:p>
        </w:tc>
      </w:tr>
      <w:tr w:rsidR="00140D38" w:rsidRPr="00E241E8" w14:paraId="6FABEF5B" w14:textId="77777777" w:rsidTr="00140D38">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955" w:type="dxa"/>
          </w:tcPr>
          <w:p w14:paraId="00C61BA2" w14:textId="77777777" w:rsidR="00140D38" w:rsidRPr="00E241E8" w:rsidRDefault="00140D38" w:rsidP="00F83AE4">
            <w:pPr>
              <w:rPr>
                <w:b w:val="0"/>
                <w:bCs w:val="0"/>
                <w:sz w:val="48"/>
                <w:szCs w:val="48"/>
              </w:rPr>
            </w:pPr>
          </w:p>
        </w:tc>
        <w:tc>
          <w:tcPr>
            <w:tcW w:w="3150" w:type="dxa"/>
          </w:tcPr>
          <w:p w14:paraId="4B1EB4B9"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c>
          <w:tcPr>
            <w:tcW w:w="1778" w:type="dxa"/>
          </w:tcPr>
          <w:p w14:paraId="7407F0C0" w14:textId="77777777" w:rsidR="00140D38" w:rsidRPr="00E241E8" w:rsidRDefault="00140D38" w:rsidP="00F83AE4">
            <w:pPr>
              <w:cnfStyle w:val="000000100000" w:firstRow="0" w:lastRow="0" w:firstColumn="0" w:lastColumn="0" w:oddVBand="0" w:evenVBand="0" w:oddHBand="1" w:evenHBand="0" w:firstRowFirstColumn="0" w:firstRowLastColumn="0" w:lastRowFirstColumn="0" w:lastRowLastColumn="0"/>
              <w:rPr>
                <w:sz w:val="48"/>
                <w:szCs w:val="48"/>
              </w:rPr>
            </w:pPr>
          </w:p>
        </w:tc>
      </w:tr>
    </w:tbl>
    <w:p w14:paraId="4C5B621D" w14:textId="77777777" w:rsidR="00895E42" w:rsidRDefault="00895E42" w:rsidP="0080072F">
      <w:pPr>
        <w:pStyle w:val="Heading1"/>
      </w:pPr>
    </w:p>
    <w:p w14:paraId="4A02C321" w14:textId="5CF46A18" w:rsidR="0080072F" w:rsidRDefault="0080072F" w:rsidP="0080072F">
      <w:pPr>
        <w:pStyle w:val="Heading1"/>
      </w:pPr>
      <w:r>
        <w:t xml:space="preserve">Emergency </w:t>
      </w:r>
      <w:r w:rsidR="00F17558">
        <w:t>I</w:t>
      </w:r>
      <w:r>
        <w:t>nformation</w:t>
      </w:r>
      <w:bookmarkEnd w:id="0"/>
    </w:p>
    <w:p w14:paraId="6704A958" w14:textId="77777777" w:rsidR="00B95985" w:rsidRPr="00B95985" w:rsidRDefault="00B95985" w:rsidP="00B95985">
      <w:pPr>
        <w:jc w:val="both"/>
      </w:pPr>
    </w:p>
    <w:p w14:paraId="38E18570" w14:textId="13FD57F6" w:rsidR="00B95985" w:rsidRPr="00F7439C" w:rsidRDefault="00B95985" w:rsidP="00B95985">
      <w:pPr>
        <w:jc w:val="both"/>
        <w:rPr>
          <w:b/>
          <w:bCs/>
        </w:rPr>
      </w:pPr>
      <w:r w:rsidRPr="00F7439C">
        <w:rPr>
          <w:b/>
          <w:bCs/>
        </w:rPr>
        <w:t>Principal Investigator 1:</w:t>
      </w:r>
      <w:r w:rsidRPr="00F7439C">
        <w:rPr>
          <w:b/>
          <w:bCs/>
        </w:rPr>
        <w:tab/>
      </w:r>
    </w:p>
    <w:p w14:paraId="3C254B62" w14:textId="19079189" w:rsidR="00E5349D" w:rsidRDefault="00E5349D" w:rsidP="00B95985">
      <w:pPr>
        <w:jc w:val="both"/>
      </w:pPr>
      <w:r>
        <w:t>Office Phone………………………………………………</w:t>
      </w:r>
      <w:r w:rsidR="00046773">
        <w:t>…….</w:t>
      </w:r>
    </w:p>
    <w:p w14:paraId="69B63A45" w14:textId="77777777" w:rsidR="00895E42" w:rsidRDefault="00B95985" w:rsidP="00B95985">
      <w:pPr>
        <w:jc w:val="both"/>
      </w:pPr>
      <w:r>
        <w:t>Cell phone....................................................................</w:t>
      </w:r>
      <w:r w:rsidR="00046773">
        <w:t>........</w:t>
      </w:r>
      <w:r w:rsidR="009A31DA">
        <w:t>.</w:t>
      </w:r>
      <w:r>
        <w:t xml:space="preserve"> </w:t>
      </w:r>
    </w:p>
    <w:p w14:paraId="7DC9BAE0" w14:textId="62F20238" w:rsidR="00B95985" w:rsidRDefault="00895E42" w:rsidP="00B95985">
      <w:pPr>
        <w:jc w:val="both"/>
      </w:pPr>
      <w:r>
        <w:t>Email address........................................................................</w:t>
      </w:r>
      <w:r w:rsidR="00E5349D">
        <w:tab/>
      </w:r>
    </w:p>
    <w:p w14:paraId="3F132022" w14:textId="25DF8481" w:rsidR="00B95985" w:rsidRPr="00F7439C" w:rsidRDefault="00B95985" w:rsidP="00B95985">
      <w:pPr>
        <w:jc w:val="both"/>
        <w:rPr>
          <w:b/>
          <w:bCs/>
        </w:rPr>
      </w:pPr>
      <w:r w:rsidRPr="00F7439C">
        <w:rPr>
          <w:b/>
          <w:bCs/>
        </w:rPr>
        <w:t xml:space="preserve">Principal Investigator 2: </w:t>
      </w:r>
      <w:r w:rsidR="00E5349D" w:rsidRPr="00F7439C">
        <w:rPr>
          <w:b/>
          <w:bCs/>
        </w:rPr>
        <w:tab/>
      </w:r>
      <w:r w:rsidR="00E5349D" w:rsidRPr="00F7439C">
        <w:rPr>
          <w:b/>
          <w:bCs/>
        </w:rPr>
        <w:tab/>
      </w:r>
      <w:r w:rsidR="00E5349D" w:rsidRPr="00F7439C">
        <w:rPr>
          <w:b/>
          <w:bCs/>
        </w:rPr>
        <w:tab/>
      </w:r>
    </w:p>
    <w:p w14:paraId="1BE798FB" w14:textId="1EDE6E1B" w:rsidR="00E5349D" w:rsidRDefault="00E5349D" w:rsidP="00B95985">
      <w:pPr>
        <w:jc w:val="both"/>
      </w:pPr>
      <w:r>
        <w:t>Office Phone………………………………………………</w:t>
      </w:r>
      <w:r w:rsidR="00046773">
        <w:t>…</w:t>
      </w:r>
      <w:proofErr w:type="gramStart"/>
      <w:r w:rsidR="00046773">
        <w:t>…..</w:t>
      </w:r>
      <w:proofErr w:type="gramEnd"/>
      <w:r>
        <w:tab/>
      </w:r>
    </w:p>
    <w:p w14:paraId="61F0D18E" w14:textId="77777777" w:rsidR="00895E42" w:rsidRDefault="00B95985" w:rsidP="00B95985">
      <w:pPr>
        <w:jc w:val="both"/>
      </w:pPr>
      <w:r>
        <w:t>Cell Phone....................................................................</w:t>
      </w:r>
      <w:r w:rsidR="00BE3416">
        <w:t>.........</w:t>
      </w:r>
    </w:p>
    <w:p w14:paraId="1EE48E0E" w14:textId="6EA43277" w:rsidR="00B95985" w:rsidRDefault="00895E42" w:rsidP="00B95985">
      <w:pPr>
        <w:jc w:val="both"/>
      </w:pPr>
      <w:r>
        <w:t>Email address........................................................................</w:t>
      </w:r>
      <w:r w:rsidR="00BE3416">
        <w:tab/>
      </w:r>
    </w:p>
    <w:p w14:paraId="412A83C1" w14:textId="5C2B55A0" w:rsidR="00B95985" w:rsidRPr="00F7439C" w:rsidRDefault="00E5349D" w:rsidP="00B95985">
      <w:pPr>
        <w:jc w:val="both"/>
        <w:rPr>
          <w:b/>
          <w:bCs/>
        </w:rPr>
      </w:pPr>
      <w:r w:rsidRPr="00F7439C">
        <w:rPr>
          <w:b/>
          <w:bCs/>
        </w:rPr>
        <w:t>Laboratory Manager</w:t>
      </w:r>
      <w:r w:rsidR="00B95985" w:rsidRPr="00F7439C">
        <w:rPr>
          <w:b/>
          <w:bCs/>
        </w:rPr>
        <w:t xml:space="preserve">: </w:t>
      </w:r>
      <w:r w:rsidRPr="00F7439C">
        <w:rPr>
          <w:b/>
          <w:bCs/>
        </w:rPr>
        <w:tab/>
      </w:r>
      <w:r w:rsidRPr="00F7439C">
        <w:rPr>
          <w:b/>
          <w:bCs/>
        </w:rPr>
        <w:tab/>
      </w:r>
    </w:p>
    <w:p w14:paraId="170D66B2" w14:textId="4DD8BDAE" w:rsidR="00E5349D" w:rsidRDefault="00B95985" w:rsidP="00B95985">
      <w:pPr>
        <w:jc w:val="both"/>
      </w:pPr>
      <w:r>
        <w:t>Office Phone………………….......................................</w:t>
      </w:r>
      <w:r w:rsidR="00BE3416">
        <w:t>..........</w:t>
      </w:r>
      <w:r w:rsidR="00BE3416">
        <w:tab/>
      </w:r>
    </w:p>
    <w:p w14:paraId="69EA4EF0" w14:textId="77777777" w:rsidR="00895E42" w:rsidRDefault="00B95985" w:rsidP="00B95985">
      <w:pPr>
        <w:jc w:val="both"/>
      </w:pPr>
      <w:r>
        <w:t>Cell Phone....................................................................</w:t>
      </w:r>
      <w:r w:rsidR="00B26041">
        <w:t>..........</w:t>
      </w:r>
    </w:p>
    <w:p w14:paraId="7D43F57E" w14:textId="77777777" w:rsidR="00895E42" w:rsidRDefault="00895E42" w:rsidP="00B95985">
      <w:pPr>
        <w:jc w:val="both"/>
      </w:pPr>
      <w:r>
        <w:t>Email address........................................................................</w:t>
      </w:r>
      <w:r w:rsidR="00BE3416">
        <w:tab/>
      </w:r>
    </w:p>
    <w:p w14:paraId="78297D7F" w14:textId="67E953E2" w:rsidR="00B95985" w:rsidRDefault="00E5349D" w:rsidP="00B95985">
      <w:pPr>
        <w:jc w:val="both"/>
      </w:pPr>
      <w:r>
        <w:tab/>
      </w:r>
    </w:p>
    <w:p w14:paraId="28D39BBE" w14:textId="036AA24B" w:rsidR="00B95985" w:rsidRDefault="00B95985" w:rsidP="00B95985">
      <w:pPr>
        <w:jc w:val="both"/>
      </w:pPr>
      <w:r>
        <w:t xml:space="preserve">NIH </w:t>
      </w:r>
      <w:r w:rsidR="00A2729E">
        <w:t>P</w:t>
      </w:r>
      <w:r>
        <w:t>olice/</w:t>
      </w:r>
      <w:r w:rsidR="00A2729E">
        <w:t>F</w:t>
      </w:r>
      <w:r>
        <w:t>ire/</w:t>
      </w:r>
      <w:r w:rsidR="00A2729E">
        <w:t>R</w:t>
      </w:r>
      <w:r>
        <w:t xml:space="preserve">escue (on campus) ..................................... </w:t>
      </w:r>
      <w:r w:rsidR="00E5349D">
        <w:tab/>
      </w:r>
      <w:r>
        <w:t>911</w:t>
      </w:r>
    </w:p>
    <w:p w14:paraId="0066E27A" w14:textId="11DFFE14" w:rsidR="00D97BC7" w:rsidRDefault="00D97BC7" w:rsidP="00806A92">
      <w:pPr>
        <w:jc w:val="both"/>
      </w:pPr>
      <w:r>
        <w:t xml:space="preserve">NIH </w:t>
      </w:r>
      <w:r w:rsidR="00A2729E">
        <w:t>P</w:t>
      </w:r>
      <w:r>
        <w:t>olice/</w:t>
      </w:r>
      <w:r w:rsidR="00A2729E">
        <w:t>F</w:t>
      </w:r>
      <w:r>
        <w:t>ire/</w:t>
      </w:r>
      <w:r w:rsidR="00A2729E">
        <w:t>R</w:t>
      </w:r>
      <w:r>
        <w:t>escue (using a cell phone)</w:t>
      </w:r>
      <w:r w:rsidR="000943E5">
        <w:t xml:space="preserve"> </w:t>
      </w:r>
      <w:r>
        <w:t>………………</w:t>
      </w:r>
      <w:proofErr w:type="gramStart"/>
      <w:r>
        <w:t>…</w:t>
      </w:r>
      <w:r w:rsidR="00FC35BF">
        <w:t>..</w:t>
      </w:r>
      <w:proofErr w:type="gramEnd"/>
      <w:r w:rsidR="000943E5">
        <w:tab/>
      </w:r>
      <w:r>
        <w:t>301-496-9911</w:t>
      </w:r>
    </w:p>
    <w:p w14:paraId="05D175AF" w14:textId="57CE17FA" w:rsidR="00626FA9" w:rsidRDefault="00626FA9" w:rsidP="00806A92">
      <w:pPr>
        <w:jc w:val="both"/>
      </w:pPr>
      <w:r>
        <w:t xml:space="preserve">COUNTY </w:t>
      </w:r>
      <w:r w:rsidR="00A2729E">
        <w:t>P</w:t>
      </w:r>
      <w:r>
        <w:t>olice/</w:t>
      </w:r>
      <w:r w:rsidR="00A2729E">
        <w:t>F</w:t>
      </w:r>
      <w:r>
        <w:t>ire/</w:t>
      </w:r>
      <w:r w:rsidR="00A2729E">
        <w:t>R</w:t>
      </w:r>
      <w:r>
        <w:t>escue (off campus)</w:t>
      </w:r>
      <w:r w:rsidR="000943E5">
        <w:t xml:space="preserve"> </w:t>
      </w:r>
      <w:r>
        <w:t>……………………</w:t>
      </w:r>
      <w:r w:rsidR="00FC35BF">
        <w:t>.</w:t>
      </w:r>
      <w:r>
        <w:tab/>
        <w:t>9-911</w:t>
      </w:r>
    </w:p>
    <w:p w14:paraId="590A96C6" w14:textId="559206F1" w:rsidR="00806A92" w:rsidRDefault="00806A92" w:rsidP="00806A92">
      <w:pPr>
        <w:jc w:val="both"/>
      </w:pPr>
      <w:r>
        <w:t>Chemical/</w:t>
      </w:r>
      <w:r w:rsidR="00E016AB">
        <w:t>B</w:t>
      </w:r>
      <w:r>
        <w:t>iological/</w:t>
      </w:r>
      <w:r w:rsidR="00E016AB">
        <w:t>R</w:t>
      </w:r>
      <w:r>
        <w:t xml:space="preserve">adiological </w:t>
      </w:r>
      <w:r w:rsidR="00E016AB">
        <w:t>E</w:t>
      </w:r>
      <w:r>
        <w:t>mergency (on campus)</w:t>
      </w:r>
      <w:r w:rsidR="000943E5">
        <w:t xml:space="preserve"> </w:t>
      </w:r>
      <w:r>
        <w:t>…</w:t>
      </w:r>
      <w:r w:rsidR="00411CF0">
        <w:t>.</w:t>
      </w:r>
      <w:r>
        <w:t xml:space="preserve"> </w:t>
      </w:r>
      <w:r>
        <w:tab/>
        <w:t>911</w:t>
      </w:r>
    </w:p>
    <w:p w14:paraId="3EDFAEE8" w14:textId="1432572F" w:rsidR="00B95985" w:rsidRDefault="00B95985" w:rsidP="00B95985">
      <w:pPr>
        <w:jc w:val="both"/>
      </w:pPr>
      <w:r>
        <w:t>NIH Security and Emergency Response..............……………</w:t>
      </w:r>
      <w:r w:rsidR="00E016AB">
        <w:t>.</w:t>
      </w:r>
      <w:r>
        <w:t xml:space="preserve"> </w:t>
      </w:r>
      <w:r w:rsidR="00E5349D">
        <w:tab/>
      </w:r>
      <w:r>
        <w:t>301-594-6677</w:t>
      </w:r>
    </w:p>
    <w:p w14:paraId="2645DC84" w14:textId="0995AF3A" w:rsidR="00B95985" w:rsidRDefault="00B95985" w:rsidP="00B95985">
      <w:pPr>
        <w:jc w:val="both"/>
      </w:pPr>
      <w:r>
        <w:t>Occupational Medic</w:t>
      </w:r>
      <w:r w:rsidR="00806A92">
        <w:t>al</w:t>
      </w:r>
      <w:r>
        <w:t xml:space="preserve"> Service (OMS)</w:t>
      </w:r>
    </w:p>
    <w:p w14:paraId="61296C73" w14:textId="2C9BF3C4" w:rsidR="00B95985" w:rsidRDefault="00B95985" w:rsidP="00806A92">
      <w:pPr>
        <w:ind w:firstLine="720"/>
        <w:jc w:val="both"/>
      </w:pPr>
      <w:r>
        <w:t>M-F, 7:30 am - 5:00 pm ................................................</w:t>
      </w:r>
      <w:r w:rsidR="00E5349D">
        <w:tab/>
      </w:r>
      <w:r>
        <w:t>301-496-4411</w:t>
      </w:r>
    </w:p>
    <w:p w14:paraId="0D324FF9" w14:textId="452246F2" w:rsidR="00B95985" w:rsidRDefault="00B95985" w:rsidP="00DE05B3">
      <w:pPr>
        <w:ind w:firstLine="720"/>
        <w:jc w:val="both"/>
      </w:pPr>
      <w:r>
        <w:t xml:space="preserve">After </w:t>
      </w:r>
      <w:r w:rsidR="00E016AB">
        <w:t>H</w:t>
      </w:r>
      <w:r>
        <w:t>ours</w:t>
      </w:r>
      <w:r w:rsidR="00806A92">
        <w:t>/</w:t>
      </w:r>
      <w:r w:rsidR="00E016AB">
        <w:t>W</w:t>
      </w:r>
      <w:r>
        <w:t>eekends</w:t>
      </w:r>
      <w:r w:rsidR="00806A92">
        <w:t>/</w:t>
      </w:r>
      <w:r w:rsidR="00E016AB">
        <w:t>H</w:t>
      </w:r>
      <w:r>
        <w:t xml:space="preserve">olidays </w:t>
      </w:r>
      <w:r w:rsidR="00806A92">
        <w:t>-</w:t>
      </w:r>
      <w:r>
        <w:t xml:space="preserve"> </w:t>
      </w:r>
      <w:r w:rsidR="00E016AB">
        <w:t>B</w:t>
      </w:r>
      <w:r>
        <w:t xml:space="preserve">iological </w:t>
      </w:r>
      <w:r w:rsidR="00E016AB">
        <w:t>E</w:t>
      </w:r>
      <w:r>
        <w:t xml:space="preserve">xposures </w:t>
      </w:r>
      <w:r w:rsidR="00E5349D">
        <w:tab/>
      </w:r>
      <w:r>
        <w:t>301-496-1211</w:t>
      </w:r>
    </w:p>
    <w:p w14:paraId="5E32AEEA" w14:textId="7C714236" w:rsidR="00B95985" w:rsidRDefault="00806A92" w:rsidP="00B95985">
      <w:pPr>
        <w:jc w:val="both"/>
      </w:pPr>
      <w:r>
        <w:t xml:space="preserve">Division of </w:t>
      </w:r>
      <w:r w:rsidR="00B95985">
        <w:t>Occupational Health and Safety</w:t>
      </w:r>
      <w:r w:rsidR="00F7439C">
        <w:t xml:space="preserve"> (main office)</w:t>
      </w:r>
      <w:r w:rsidR="000943E5">
        <w:t xml:space="preserve"> </w:t>
      </w:r>
      <w:r w:rsidR="00B95985">
        <w:t xml:space="preserve">......... </w:t>
      </w:r>
      <w:r w:rsidR="00E5349D">
        <w:tab/>
      </w:r>
      <w:r w:rsidR="00B95985">
        <w:t>301-496-2346</w:t>
      </w:r>
    </w:p>
    <w:p w14:paraId="596D2E55" w14:textId="1508E6BF" w:rsidR="00B95985" w:rsidRDefault="00B95985" w:rsidP="00B95985">
      <w:pPr>
        <w:jc w:val="both"/>
      </w:pPr>
      <w:r>
        <w:t>Radiation Safety…………………………………………………</w:t>
      </w:r>
      <w:r w:rsidR="00571B18">
        <w:t>…</w:t>
      </w:r>
      <w:r>
        <w:t xml:space="preserve"> </w:t>
      </w:r>
      <w:r w:rsidR="00E5349D">
        <w:tab/>
      </w:r>
      <w:r>
        <w:t>301-496-5774</w:t>
      </w:r>
    </w:p>
    <w:p w14:paraId="662D0092" w14:textId="0409B502" w:rsidR="00744EBD" w:rsidRDefault="00B95985" w:rsidP="00B95985">
      <w:pPr>
        <w:jc w:val="both"/>
      </w:pPr>
      <w:r>
        <w:t>Division of Environmental Protection……………………………</w:t>
      </w:r>
      <w:r w:rsidR="00571B18">
        <w:t>.</w:t>
      </w:r>
      <w:r>
        <w:t xml:space="preserve"> </w:t>
      </w:r>
      <w:r w:rsidR="00E5349D">
        <w:tab/>
      </w:r>
      <w:r>
        <w:t>301-496-7990</w:t>
      </w:r>
    </w:p>
    <w:tbl>
      <w:tblPr>
        <w:tblStyle w:val="PlainTable4"/>
        <w:tblpPr w:leftFromText="180" w:rightFromText="180" w:vertAnchor="text" w:horzAnchor="page" w:tblpX="7816" w:tblpY="-25"/>
        <w:tblW w:w="0" w:type="auto"/>
        <w:tblLook w:val="04A0" w:firstRow="1" w:lastRow="0" w:firstColumn="1" w:lastColumn="0" w:noHBand="0" w:noVBand="1"/>
      </w:tblPr>
      <w:tblGrid>
        <w:gridCol w:w="2430"/>
      </w:tblGrid>
      <w:tr w:rsidR="005445BA" w14:paraId="43183D03" w14:textId="77777777" w:rsidTr="00DE05B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30" w:type="dxa"/>
          </w:tcPr>
          <w:p w14:paraId="44D1E3AD" w14:textId="77777777" w:rsidR="005445BA" w:rsidRDefault="005445BA" w:rsidP="005445BA">
            <w:pPr>
              <w:jc w:val="both"/>
            </w:pPr>
            <w:bookmarkStart w:id="2" w:name="_Hlk65854577"/>
          </w:p>
        </w:tc>
      </w:tr>
    </w:tbl>
    <w:bookmarkEnd w:id="2"/>
    <w:p w14:paraId="6D91AF4B" w14:textId="096BB4F4" w:rsidR="00126CFB" w:rsidRDefault="00F615DE" w:rsidP="00F5248B">
      <w:pPr>
        <w:spacing w:after="0"/>
        <w:rPr>
          <w:rFonts w:cs="Arial"/>
          <w:color w:val="FF0000"/>
        </w:rPr>
      </w:pPr>
      <w:r w:rsidRPr="00476B5C">
        <w:rPr>
          <w:rFonts w:cs="Arial"/>
          <w:i/>
        </w:rPr>
        <w:t xml:space="preserve">Evacuation Meeting Place for Laboratory </w:t>
      </w:r>
      <w:r w:rsidR="00CD0768" w:rsidRPr="00476B5C">
        <w:rPr>
          <w:rFonts w:cs="Arial"/>
          <w:i/>
        </w:rPr>
        <w:t xml:space="preserve">Personnel for each building/floor covered by this manual: </w:t>
      </w:r>
      <w:r w:rsidR="002736AF" w:rsidRPr="00476B5C">
        <w:rPr>
          <w:rFonts w:cs="Arial"/>
        </w:rPr>
        <w:t>………</w:t>
      </w:r>
      <w:r w:rsidR="00850997" w:rsidRPr="00476B5C">
        <w:rPr>
          <w:rFonts w:cs="Arial"/>
        </w:rPr>
        <w:t>.</w:t>
      </w:r>
      <w:r w:rsidR="00856DE9">
        <w:rPr>
          <w:rFonts w:cs="Arial"/>
          <w:color w:val="FF0000"/>
        </w:rPr>
        <w:tab/>
      </w:r>
    </w:p>
    <w:p w14:paraId="31C06201" w14:textId="332DCE4C" w:rsidR="00F615DE" w:rsidRDefault="00F615DE" w:rsidP="00895E42">
      <w:pPr>
        <w:spacing w:after="0"/>
      </w:pPr>
      <w:r>
        <w:rPr>
          <w:rFonts w:cs="Arial"/>
        </w:rPr>
        <w:t>*Refer to NIH Policy Manual 1430 for the NIH Occupant Evacuation Plan.</w:t>
      </w:r>
    </w:p>
    <w:p w14:paraId="1FE7C510" w14:textId="6047F305" w:rsidR="0080072F" w:rsidRPr="00140D38" w:rsidRDefault="008D52AE" w:rsidP="00140D38">
      <w:pPr>
        <w:rPr>
          <w:rFonts w:asciiTheme="majorHAnsi" w:eastAsiaTheme="majorEastAsia" w:hAnsiTheme="majorHAnsi" w:cstheme="majorBidi"/>
          <w:b/>
          <w:bCs/>
          <w:color w:val="2F5496" w:themeColor="accent1" w:themeShade="BF"/>
          <w:sz w:val="24"/>
          <w:szCs w:val="24"/>
        </w:rPr>
      </w:pPr>
      <w:bookmarkStart w:id="3" w:name="_Toc47684996"/>
      <w:r>
        <w:br w:type="page"/>
      </w:r>
      <w:r w:rsidR="0080072F" w:rsidRPr="00140D38">
        <w:rPr>
          <w:b/>
          <w:bCs/>
          <w:color w:val="2F5496" w:themeColor="accent1" w:themeShade="BF"/>
          <w:sz w:val="24"/>
          <w:szCs w:val="24"/>
        </w:rPr>
        <w:lastRenderedPageBreak/>
        <w:t>Fire</w:t>
      </w:r>
      <w:bookmarkEnd w:id="3"/>
    </w:p>
    <w:p w14:paraId="197FA93E" w14:textId="43E13910" w:rsidR="00744EBD" w:rsidRPr="00744EBD" w:rsidRDefault="00744EBD" w:rsidP="00744EBD">
      <w:r>
        <w:t>In case of fire, evacuate immediately and activate the fire alarm pull station as you exit at</w:t>
      </w:r>
      <w:r w:rsidR="008D52AE">
        <w:t xml:space="preserve"> </w:t>
      </w:r>
      <w:r>
        <w:t>the stairwells. Judgment should be exercised in deciding whether to store or contain any</w:t>
      </w:r>
      <w:r w:rsidR="008D52AE">
        <w:t xml:space="preserve"> </w:t>
      </w:r>
      <w:r>
        <w:t xml:space="preserve">hazardous materials prior to evacuation. </w:t>
      </w:r>
      <w:r w:rsidR="00895E42">
        <w:t xml:space="preserve">Remove all PPE and place into MPW container </w:t>
      </w:r>
      <w:r>
        <w:t>before leaving laboratory, if</w:t>
      </w:r>
      <w:r w:rsidR="008D52AE">
        <w:t xml:space="preserve"> </w:t>
      </w:r>
      <w:r>
        <w:t>possible.</w:t>
      </w:r>
    </w:p>
    <w:p w14:paraId="518C6C5D" w14:textId="77777777" w:rsidR="0080072F" w:rsidRDefault="0080072F" w:rsidP="0080072F">
      <w:pPr>
        <w:pStyle w:val="Heading2"/>
      </w:pPr>
      <w:bookmarkStart w:id="4" w:name="_Toc47684997"/>
      <w:r>
        <w:t>Injury</w:t>
      </w:r>
      <w:bookmarkEnd w:id="4"/>
    </w:p>
    <w:p w14:paraId="13261882" w14:textId="38E36810" w:rsidR="00744EBD" w:rsidRPr="00744EBD" w:rsidRDefault="00744EBD" w:rsidP="00744EBD">
      <w:r>
        <w:t xml:space="preserve">If an injury is life threatening call 911. For </w:t>
      </w:r>
      <w:r w:rsidR="00CD0768">
        <w:t>less serious</w:t>
      </w:r>
      <w:r>
        <w:t xml:space="preserve"> injuries treatment should be sought</w:t>
      </w:r>
      <w:r w:rsidR="008D52AE">
        <w:t xml:space="preserve"> </w:t>
      </w:r>
      <w:r>
        <w:t>at NIH Occupational Medical Services located on the 6th floor, C Wing of the Clinical</w:t>
      </w:r>
      <w:r w:rsidR="008D52AE">
        <w:t xml:space="preserve"> </w:t>
      </w:r>
      <w:r>
        <w:t>Center Building 10) during weekday, daytime hours. During night and weekend hours,</w:t>
      </w:r>
      <w:r w:rsidR="008D52AE">
        <w:t xml:space="preserve"> </w:t>
      </w:r>
      <w:r>
        <w:t>for injuries involving human pathogens or body fluids suspected of being contaminated</w:t>
      </w:r>
      <w:r w:rsidR="008D52AE">
        <w:t xml:space="preserve"> </w:t>
      </w:r>
      <w:r>
        <w:t>with known biohazards, OMS should be contacted via the Clinical Center page operator</w:t>
      </w:r>
      <w:r w:rsidR="008D52AE">
        <w:t xml:space="preserve"> </w:t>
      </w:r>
      <w:r>
        <w:t>(301-496-1211). Limited off</w:t>
      </w:r>
      <w:r w:rsidR="00CD0768">
        <w:t>-</w:t>
      </w:r>
      <w:r>
        <w:t>hour medical care is provided by the Clinical Center. Any</w:t>
      </w:r>
      <w:r w:rsidR="008D52AE">
        <w:t xml:space="preserve"> </w:t>
      </w:r>
      <w:r>
        <w:t>injury to a laboratory worker must be reported as soon as possible to the supervisor. Refer</w:t>
      </w:r>
      <w:r w:rsidR="008D52AE">
        <w:t xml:space="preserve"> </w:t>
      </w:r>
      <w:r>
        <w:t>to the 1-2-3 Poster for steps to take in the event of a potential bloodborne pathogen</w:t>
      </w:r>
      <w:r w:rsidR="008D52AE">
        <w:t xml:space="preserve"> </w:t>
      </w:r>
      <w:r>
        <w:t>exposure</w:t>
      </w:r>
      <w:r w:rsidR="00CD0768">
        <w:t>.</w:t>
      </w:r>
    </w:p>
    <w:p w14:paraId="3786FC35" w14:textId="77777777" w:rsidR="0080072F" w:rsidRDefault="0080072F" w:rsidP="0080072F">
      <w:pPr>
        <w:pStyle w:val="Heading2"/>
      </w:pPr>
      <w:bookmarkStart w:id="5" w:name="_Toc47684998"/>
      <w:r>
        <w:t>Exposure to Biohazardous Materials</w:t>
      </w:r>
      <w:bookmarkEnd w:id="5"/>
    </w:p>
    <w:p w14:paraId="508653F2" w14:textId="17A6F7ED" w:rsidR="00744EBD" w:rsidRDefault="00744EBD" w:rsidP="00744EBD">
      <w:r>
        <w:t xml:space="preserve">An exposure is defined as agent contact </w:t>
      </w:r>
      <w:r w:rsidR="00CD0768">
        <w:t xml:space="preserve">through </w:t>
      </w:r>
      <w:r>
        <w:t>a percutaneous injury, broken skin, or</w:t>
      </w:r>
      <w:r w:rsidR="008D52AE">
        <w:t xml:space="preserve"> </w:t>
      </w:r>
      <w:r>
        <w:t>mucous membranes (e.g., eyes, nose, and mouth).</w:t>
      </w:r>
      <w:r w:rsidR="008D52AE">
        <w:t xml:space="preserve"> </w:t>
      </w:r>
      <w:r>
        <w:t>In the event of an exposure:</w:t>
      </w:r>
    </w:p>
    <w:p w14:paraId="4C4F4AD2" w14:textId="77777777" w:rsidR="00744EBD" w:rsidRDefault="00744EBD" w:rsidP="008D52AE">
      <w:pPr>
        <w:pStyle w:val="ListParagraph"/>
        <w:numPr>
          <w:ilvl w:val="0"/>
          <w:numId w:val="1"/>
        </w:numPr>
      </w:pPr>
      <w:r>
        <w:t>Wash the area with soap and water or flush eyes, nose or mouth with large</w:t>
      </w:r>
      <w:r w:rsidR="008D52AE">
        <w:t xml:space="preserve"> </w:t>
      </w:r>
      <w:r>
        <w:t>amounts of water for 15 minutes.</w:t>
      </w:r>
    </w:p>
    <w:p w14:paraId="18F64750" w14:textId="77777777" w:rsidR="00744EBD" w:rsidRDefault="00744EBD" w:rsidP="008D52AE">
      <w:pPr>
        <w:pStyle w:val="ListParagraph"/>
        <w:numPr>
          <w:ilvl w:val="0"/>
          <w:numId w:val="1"/>
        </w:numPr>
      </w:pPr>
      <w:r>
        <w:t>Notify OMS directly during normal business hours or through the NIH page</w:t>
      </w:r>
      <w:r w:rsidR="008D52AE">
        <w:t xml:space="preserve"> </w:t>
      </w:r>
      <w:r>
        <w:t>operator after hours. Medical personnel will advise you as to when you should</w:t>
      </w:r>
      <w:r w:rsidR="008D52AE">
        <w:t xml:space="preserve"> </w:t>
      </w:r>
      <w:r>
        <w:t>report to the clinic for a post-exposure follow up evaluation.</w:t>
      </w:r>
    </w:p>
    <w:p w14:paraId="3B1A868E" w14:textId="77777777" w:rsidR="00744EBD" w:rsidRDefault="00744EBD" w:rsidP="008D52AE">
      <w:pPr>
        <w:pStyle w:val="ListParagraph"/>
        <w:numPr>
          <w:ilvl w:val="0"/>
          <w:numId w:val="1"/>
        </w:numPr>
      </w:pPr>
      <w:r>
        <w:t>All exposures must be reported to the immediate supervisor and Principal</w:t>
      </w:r>
      <w:r w:rsidR="008D52AE">
        <w:t xml:space="preserve"> </w:t>
      </w:r>
      <w:r>
        <w:t>Investigator.</w:t>
      </w:r>
    </w:p>
    <w:p w14:paraId="03A8BBCC" w14:textId="46354D6A" w:rsidR="00744EBD" w:rsidRPr="00744EBD" w:rsidRDefault="00744EBD" w:rsidP="008D52AE">
      <w:pPr>
        <w:pStyle w:val="ListParagraph"/>
        <w:numPr>
          <w:ilvl w:val="0"/>
          <w:numId w:val="1"/>
        </w:numPr>
      </w:pPr>
      <w:r>
        <w:t>Principal Investigators are responsible for reporting exposure incidents to the</w:t>
      </w:r>
      <w:r w:rsidR="008D52AE">
        <w:t xml:space="preserve"> </w:t>
      </w:r>
      <w:r>
        <w:t>Division of Occupational Health and Safety</w:t>
      </w:r>
      <w:r w:rsidR="00573F7D">
        <w:t xml:space="preserve"> </w:t>
      </w:r>
      <w:r w:rsidR="00662759">
        <w:t>301-496-2960</w:t>
      </w:r>
      <w:r>
        <w:t>.</w:t>
      </w:r>
    </w:p>
    <w:p w14:paraId="7B393C26" w14:textId="77777777" w:rsidR="0080072F" w:rsidRDefault="0080072F" w:rsidP="0080072F">
      <w:pPr>
        <w:pStyle w:val="Heading2"/>
      </w:pPr>
      <w:bookmarkStart w:id="6" w:name="_Toc47684999"/>
      <w:r>
        <w:t>Security Incidents</w:t>
      </w:r>
      <w:bookmarkEnd w:id="6"/>
    </w:p>
    <w:p w14:paraId="5DC5831A" w14:textId="3BAF984C" w:rsidR="00B8195E" w:rsidRDefault="00B8195E" w:rsidP="00B8195E">
      <w:r>
        <w:t>Security incidents such as suspicious visitors</w:t>
      </w:r>
      <w:r w:rsidR="00662759">
        <w:t xml:space="preserve"> or </w:t>
      </w:r>
      <w:r>
        <w:t>packages, missing chemicals, or missing biological agents must be immediately reported to the Principal Investigator and the NIH Police must be notified. Principal Investigators are responsible for reporting security incidents to the Division of Occupational Health and Safety.</w:t>
      </w:r>
    </w:p>
    <w:p w14:paraId="7D435BAD" w14:textId="373CB233" w:rsidR="0080072F" w:rsidRDefault="00B8195E" w:rsidP="00B8195E">
      <w:r>
        <w:t>In recent years, with the passing of federal legislation regulating the possession, use, and transfer of agents with high adverse public health and/or agricultural consequences (HHS and USDA Select Agents), greater emphasis has been placed on the emerging field of biosecurity. In contrast to biosafety, a field dedicated to the protection of workers</w:t>
      </w:r>
      <w:r w:rsidRPr="00B8195E">
        <w:t xml:space="preserve"> </w:t>
      </w:r>
      <w:r>
        <w:t>and the environment from exposures to infectious materials, the field of biosecurity prevents loss of valuable research materials and limits access to infectious materials by individuals who would use them for harmful purposes. Nevertheless, proper containment of biological materials is essential to both biosafety and biosecurity</w:t>
      </w:r>
    </w:p>
    <w:p w14:paraId="0338BE09" w14:textId="77777777" w:rsidR="003B37BC" w:rsidRDefault="003B37BC">
      <w:bookmarkStart w:id="7" w:name="_Toc47685000"/>
    </w:p>
    <w:p w14:paraId="3420EC94" w14:textId="77777777" w:rsidR="003B37BC" w:rsidRDefault="003B37BC"/>
    <w:p w14:paraId="1C20F6E2" w14:textId="6E20B298" w:rsidR="00B8195E" w:rsidRDefault="00B8195E">
      <w:pPr>
        <w:rPr>
          <w:rFonts w:eastAsiaTheme="majorEastAsia" w:cstheme="majorBidi"/>
          <w:color w:val="2F5496" w:themeColor="accent1" w:themeShade="BF"/>
          <w:sz w:val="32"/>
          <w:szCs w:val="32"/>
        </w:rPr>
      </w:pPr>
      <w:r>
        <w:br w:type="page"/>
      </w:r>
    </w:p>
    <w:p w14:paraId="37ABF978" w14:textId="659BAF68" w:rsidR="0080072F" w:rsidRDefault="0080072F" w:rsidP="0080072F">
      <w:pPr>
        <w:pStyle w:val="Heading1"/>
      </w:pPr>
      <w:r>
        <w:lastRenderedPageBreak/>
        <w:t>Purpose</w:t>
      </w:r>
      <w:bookmarkEnd w:id="7"/>
    </w:p>
    <w:p w14:paraId="5B8E415D" w14:textId="77777777" w:rsidR="00B95985" w:rsidRPr="00B95985" w:rsidRDefault="00B95985" w:rsidP="00B95985"/>
    <w:p w14:paraId="45433370" w14:textId="001B99F3" w:rsidR="001A7AB9" w:rsidRPr="00FF7B5E" w:rsidRDefault="001A7AB9" w:rsidP="001A7AB9">
      <w:pPr>
        <w:autoSpaceDE w:val="0"/>
        <w:autoSpaceDN w:val="0"/>
        <w:adjustRightInd w:val="0"/>
        <w:rPr>
          <w:rFonts w:cs="Arial"/>
        </w:rPr>
      </w:pPr>
      <w:bookmarkStart w:id="8" w:name="_Toc47685001"/>
      <w:r w:rsidRPr="00FF7B5E">
        <w:rPr>
          <w:rFonts w:cs="Arial"/>
        </w:rPr>
        <w:t>A fundamental objective of any biosafety program is the containment of potentially harmful biological agents. The term "containment" is used in describing safe methods, facilities, and equipment for managing infectious materials in the laboratory environment where they are being handled or maintained. The purpose of containment is to reduce or eliminate exposure of laboratory workers, other persons, and the outside environment to potentially hazardous agents. The risk assessment of the work to be done with a specific agent will determine the appropriate combination of these elements.</w:t>
      </w:r>
    </w:p>
    <w:p w14:paraId="66A2CE7B" w14:textId="6CD9218E" w:rsidR="001A7AB9" w:rsidRPr="00FF7B5E" w:rsidRDefault="001A7AB9" w:rsidP="001A7AB9">
      <w:pPr>
        <w:pStyle w:val="Header"/>
        <w:rPr>
          <w:rFonts w:cs="Arial"/>
          <w:b/>
        </w:rPr>
      </w:pPr>
      <w:r w:rsidRPr="00FF7B5E">
        <w:rPr>
          <w:rFonts w:cs="Arial"/>
        </w:rPr>
        <w:t xml:space="preserve">This Biosafety Manual outlines procedures for using and disposing of potentially infectious agents in Biosafety Level 2 (BSL-2) laboratories or Biosafety Level 2 facilities with Biosafety Level 3 practices (BSL-2/3) laboratories. All personnel working with agents in BSL-2 or BSL-2/3 laboratories must comply with the procedures in this manual. </w:t>
      </w:r>
      <w:r w:rsidRPr="00FF7B5E">
        <w:rPr>
          <w:rFonts w:cs="Arial"/>
          <w:b/>
        </w:rPr>
        <w:t xml:space="preserve"> </w:t>
      </w:r>
      <w:r w:rsidRPr="00FF7B5E">
        <w:rPr>
          <w:rFonts w:cs="Arial"/>
        </w:rPr>
        <w:t>Principal Investigators or laboratory supervisors must contact the Division of Occupational Health and Safety (DOHS) at 301-496-2346 if they are uncertain in how to categorize, handle, store, treat or discard any biohazardous material</w:t>
      </w:r>
      <w:r w:rsidRPr="00FF7B5E">
        <w:rPr>
          <w:rFonts w:cs="Arial"/>
          <w:b/>
        </w:rPr>
        <w:t>.</w:t>
      </w:r>
    </w:p>
    <w:p w14:paraId="0ED82A24" w14:textId="77777777" w:rsidR="001A7AB9" w:rsidRPr="00FF7B5E" w:rsidRDefault="001A7AB9" w:rsidP="001A7AB9">
      <w:pPr>
        <w:pStyle w:val="Header"/>
        <w:rPr>
          <w:rFonts w:cs="Arial"/>
          <w:b/>
        </w:rPr>
      </w:pPr>
    </w:p>
    <w:p w14:paraId="2711A6D7" w14:textId="4564F430" w:rsidR="003B37BC" w:rsidRDefault="001A7AB9" w:rsidP="00DE05B3">
      <w:pPr>
        <w:pStyle w:val="Header"/>
      </w:pPr>
      <w:r w:rsidRPr="00FF7B5E">
        <w:rPr>
          <w:rFonts w:cs="Arial"/>
        </w:rPr>
        <w:t xml:space="preserve">In addition to adhering to all prescribed occupational medical surveillance requirements and vaccinations, persons who are at increased risk of acquiring infection or for whom infection may have serious consequences should seek guidance from Occupational Medical Services (OMS) at 301-496-4411.  </w:t>
      </w:r>
    </w:p>
    <w:p w14:paraId="413B400D" w14:textId="77777777" w:rsidR="00A51D05" w:rsidRDefault="00A51D05" w:rsidP="00C253EE">
      <w:pPr>
        <w:pStyle w:val="Heading1"/>
      </w:pPr>
      <w:r>
        <w:br w:type="page"/>
      </w:r>
    </w:p>
    <w:p w14:paraId="2CDCC217" w14:textId="75B52437" w:rsidR="00C253EE" w:rsidRDefault="00C253EE" w:rsidP="00C253EE">
      <w:pPr>
        <w:pStyle w:val="Heading1"/>
      </w:pPr>
      <w:r w:rsidRPr="00C253EE">
        <w:lastRenderedPageBreak/>
        <w:t>Research Synopsis</w:t>
      </w:r>
    </w:p>
    <w:p w14:paraId="2C0EAA79" w14:textId="0CEE6007" w:rsidR="00C253EE" w:rsidRDefault="00C253EE" w:rsidP="00C253EE"/>
    <w:p w14:paraId="4F92F3E8" w14:textId="496E10B9" w:rsidR="00C752F4" w:rsidRDefault="007B292B" w:rsidP="009160EB">
      <w:pPr>
        <w:rPr>
          <w:rFonts w:cs="Arial"/>
        </w:rPr>
      </w:pPr>
      <w:r w:rsidRPr="001A7AB9">
        <w:rPr>
          <w:rFonts w:cs="Arial"/>
        </w:rPr>
        <w:t>[</w:t>
      </w:r>
      <w:r w:rsidR="001A7AB9" w:rsidRPr="001A7AB9">
        <w:rPr>
          <w:rFonts w:cs="Arial"/>
        </w:rPr>
        <w:t xml:space="preserve">Please describe the background </w:t>
      </w:r>
      <w:r w:rsidR="00662759">
        <w:rPr>
          <w:rFonts w:cs="Arial"/>
        </w:rPr>
        <w:t xml:space="preserve">and nature </w:t>
      </w:r>
      <w:r w:rsidR="001A7AB9" w:rsidRPr="001A7AB9">
        <w:rPr>
          <w:rFonts w:cs="Arial"/>
        </w:rPr>
        <w:t>of your research in this section</w:t>
      </w:r>
      <w:r w:rsidR="00662759">
        <w:rPr>
          <w:rFonts w:cs="Arial"/>
        </w:rPr>
        <w:t xml:space="preserve"> as it pertains to the work with registered materials</w:t>
      </w:r>
      <w:r w:rsidR="001A7AB9" w:rsidRPr="001A7AB9">
        <w:rPr>
          <w:rFonts w:cs="Arial"/>
        </w:rPr>
        <w:t xml:space="preserve">. </w:t>
      </w:r>
      <w:r w:rsidR="00662759">
        <w:rPr>
          <w:rFonts w:cs="Arial"/>
        </w:rPr>
        <w:t>Use as much space as needed]</w:t>
      </w:r>
    </w:p>
    <w:p w14:paraId="78B33E51" w14:textId="77777777" w:rsidR="00D92E06" w:rsidRDefault="00D92E06" w:rsidP="009160EB">
      <w:pPr>
        <w:rPr>
          <w:rFonts w:cs="Arial"/>
        </w:rPr>
      </w:pPr>
    </w:p>
    <w:p w14:paraId="0908E21A" w14:textId="77777777" w:rsidR="00D92E06" w:rsidRDefault="00D92E06" w:rsidP="009160EB">
      <w:pPr>
        <w:rPr>
          <w:rFonts w:cs="Arial"/>
        </w:rPr>
      </w:pPr>
    </w:p>
    <w:p w14:paraId="2CB76C9B" w14:textId="77777777" w:rsidR="00D92E06" w:rsidRDefault="00D92E06" w:rsidP="009160EB">
      <w:pPr>
        <w:rPr>
          <w:rFonts w:cs="Arial"/>
        </w:rPr>
      </w:pPr>
    </w:p>
    <w:p w14:paraId="692E1E48" w14:textId="77777777" w:rsidR="00D92E06" w:rsidRDefault="00D92E06" w:rsidP="009160EB">
      <w:pPr>
        <w:rPr>
          <w:rFonts w:cs="Arial"/>
        </w:rPr>
      </w:pPr>
    </w:p>
    <w:p w14:paraId="7B78C939" w14:textId="77777777" w:rsidR="00D92E06" w:rsidRDefault="00D92E06" w:rsidP="009160EB">
      <w:pPr>
        <w:rPr>
          <w:rFonts w:cs="Arial"/>
        </w:rPr>
      </w:pPr>
    </w:p>
    <w:p w14:paraId="39D38E27" w14:textId="77777777" w:rsidR="00D92E06" w:rsidRDefault="00D92E06" w:rsidP="009160EB">
      <w:pPr>
        <w:rPr>
          <w:rFonts w:cs="Arial"/>
        </w:rPr>
      </w:pPr>
    </w:p>
    <w:p w14:paraId="6BBB5514" w14:textId="517A3883" w:rsidR="00D92E06" w:rsidRDefault="00D92E06" w:rsidP="009160EB">
      <w:pPr>
        <w:rPr>
          <w:rFonts w:cs="Arial"/>
        </w:rPr>
      </w:pPr>
    </w:p>
    <w:p w14:paraId="25645919" w14:textId="77777777" w:rsidR="00D92E06" w:rsidRDefault="00D92E06" w:rsidP="009160EB">
      <w:pPr>
        <w:rPr>
          <w:rFonts w:cs="Arial"/>
        </w:rPr>
      </w:pPr>
    </w:p>
    <w:p w14:paraId="3D29E0B8" w14:textId="77777777" w:rsidR="00D92E06" w:rsidRDefault="00D92E06" w:rsidP="009160EB">
      <w:pPr>
        <w:rPr>
          <w:rFonts w:cs="Arial"/>
        </w:rPr>
      </w:pPr>
    </w:p>
    <w:p w14:paraId="0A2D5B18" w14:textId="77777777" w:rsidR="00D92E06" w:rsidRDefault="00D92E06" w:rsidP="009160EB">
      <w:pPr>
        <w:rPr>
          <w:rFonts w:cs="Arial"/>
        </w:rPr>
      </w:pPr>
    </w:p>
    <w:p w14:paraId="39726614" w14:textId="77777777" w:rsidR="00D92E06" w:rsidRDefault="00D92E06" w:rsidP="009160EB">
      <w:pPr>
        <w:rPr>
          <w:rFonts w:cs="Arial"/>
        </w:rPr>
      </w:pPr>
    </w:p>
    <w:p w14:paraId="742E8838" w14:textId="77777777" w:rsidR="00D92E06" w:rsidRDefault="00D92E06" w:rsidP="009160EB">
      <w:pPr>
        <w:rPr>
          <w:rFonts w:cs="Arial"/>
        </w:rPr>
      </w:pPr>
    </w:p>
    <w:p w14:paraId="2862779C" w14:textId="77777777" w:rsidR="00D92E06" w:rsidRDefault="00D92E06" w:rsidP="009160EB">
      <w:pPr>
        <w:rPr>
          <w:rFonts w:cs="Arial"/>
        </w:rPr>
      </w:pPr>
    </w:p>
    <w:p w14:paraId="05F0ACB5" w14:textId="77777777" w:rsidR="00D92E06" w:rsidRDefault="00D92E06" w:rsidP="009160EB">
      <w:pPr>
        <w:rPr>
          <w:rFonts w:cs="Arial"/>
        </w:rPr>
      </w:pPr>
    </w:p>
    <w:p w14:paraId="107EA8D7" w14:textId="77777777" w:rsidR="00D92E06" w:rsidRDefault="00D92E06" w:rsidP="009160EB">
      <w:pPr>
        <w:rPr>
          <w:rFonts w:cs="Arial"/>
        </w:rPr>
      </w:pPr>
    </w:p>
    <w:p w14:paraId="72B96DD5" w14:textId="77777777" w:rsidR="00D92E06" w:rsidRDefault="00D92E06" w:rsidP="009160EB">
      <w:pPr>
        <w:rPr>
          <w:rFonts w:cs="Arial"/>
        </w:rPr>
      </w:pPr>
    </w:p>
    <w:p w14:paraId="7085E3F6" w14:textId="77777777" w:rsidR="00D92E06" w:rsidRDefault="00D92E06" w:rsidP="009160EB">
      <w:pPr>
        <w:rPr>
          <w:rFonts w:cs="Arial"/>
        </w:rPr>
      </w:pPr>
    </w:p>
    <w:p w14:paraId="314990E0" w14:textId="77777777" w:rsidR="00B50962" w:rsidRDefault="00B50962" w:rsidP="00B50962"/>
    <w:p w14:paraId="4DCF8237" w14:textId="77777777" w:rsidR="00B50962" w:rsidRDefault="00B50962" w:rsidP="00B50962"/>
    <w:p w14:paraId="17151BDB" w14:textId="77777777" w:rsidR="00B50962" w:rsidRDefault="00B50962" w:rsidP="00B50962"/>
    <w:p w14:paraId="19A802F9" w14:textId="77777777" w:rsidR="00B50962" w:rsidRDefault="00B50962" w:rsidP="00B50962"/>
    <w:p w14:paraId="3F213987" w14:textId="77777777" w:rsidR="00B50962" w:rsidRDefault="00B50962" w:rsidP="00B50962"/>
    <w:p w14:paraId="5E0E98BB" w14:textId="5AC9E5A1" w:rsidR="00533217" w:rsidRDefault="00533217" w:rsidP="00B50962"/>
    <w:p w14:paraId="50FF8CCB" w14:textId="77777777" w:rsidR="00533217" w:rsidRDefault="00533217" w:rsidP="00B50962"/>
    <w:p w14:paraId="4AD471A0" w14:textId="088ADA8C" w:rsidR="003D5F60" w:rsidRPr="00B50962" w:rsidRDefault="003D5F60" w:rsidP="00B50962"/>
    <w:p w14:paraId="7673F448" w14:textId="61C44620" w:rsidR="00533217" w:rsidRDefault="00533217" w:rsidP="0080072F">
      <w:pPr>
        <w:pStyle w:val="Heading1"/>
      </w:pPr>
      <w:r>
        <w:br w:type="page"/>
      </w:r>
    </w:p>
    <w:p w14:paraId="2C383F8E" w14:textId="39FC8405" w:rsidR="0080072F" w:rsidRDefault="0080072F" w:rsidP="0080072F">
      <w:pPr>
        <w:pStyle w:val="Heading1"/>
      </w:pPr>
      <w:r>
        <w:lastRenderedPageBreak/>
        <w:t>Responsibilities</w:t>
      </w:r>
      <w:bookmarkEnd w:id="8"/>
    </w:p>
    <w:p w14:paraId="04EAF4FE" w14:textId="77777777" w:rsidR="0080072F" w:rsidRDefault="0080072F" w:rsidP="0080072F">
      <w:pPr>
        <w:pStyle w:val="Heading2"/>
      </w:pPr>
      <w:bookmarkStart w:id="9" w:name="_Toc47685002"/>
      <w:r>
        <w:t>Principle Investigator</w:t>
      </w:r>
      <w:bookmarkEnd w:id="9"/>
      <w:r w:rsidR="00EC6944">
        <w:t>s</w:t>
      </w:r>
    </w:p>
    <w:p w14:paraId="44C575E9" w14:textId="77777777" w:rsidR="00573F7D" w:rsidRPr="00573F7D" w:rsidRDefault="00573F7D" w:rsidP="00573F7D"/>
    <w:p w14:paraId="2880B7DC" w14:textId="5263E5BD" w:rsidR="001A7AB9" w:rsidRPr="00F32A5A" w:rsidRDefault="001A7AB9" w:rsidP="00722064">
      <w:pPr>
        <w:numPr>
          <w:ilvl w:val="0"/>
          <w:numId w:val="6"/>
        </w:numPr>
        <w:tabs>
          <w:tab w:val="clear" w:pos="1140"/>
          <w:tab w:val="left" w:pos="360"/>
          <w:tab w:val="num" w:pos="810"/>
        </w:tabs>
        <w:spacing w:after="0" w:line="240" w:lineRule="auto"/>
        <w:ind w:left="810" w:hanging="450"/>
        <w:rPr>
          <w:rFonts w:cs="Arial"/>
          <w:szCs w:val="24"/>
        </w:rPr>
      </w:pPr>
      <w:r w:rsidRPr="00F32A5A">
        <w:rPr>
          <w:rFonts w:cs="Arial"/>
          <w:szCs w:val="24"/>
        </w:rPr>
        <w:t xml:space="preserve">Ensures that </w:t>
      </w:r>
      <w:r>
        <w:rPr>
          <w:rFonts w:cs="Arial"/>
          <w:szCs w:val="24"/>
        </w:rPr>
        <w:t xml:space="preserve">all </w:t>
      </w:r>
      <w:r w:rsidRPr="00F32A5A">
        <w:rPr>
          <w:rFonts w:cs="Arial"/>
          <w:szCs w:val="24"/>
        </w:rPr>
        <w:t>laboratory and support personnel receive</w:t>
      </w:r>
      <w:r>
        <w:rPr>
          <w:rFonts w:cs="Arial"/>
          <w:szCs w:val="24"/>
        </w:rPr>
        <w:t>:</w:t>
      </w:r>
      <w:r w:rsidRPr="00F32A5A">
        <w:rPr>
          <w:rFonts w:cs="Arial"/>
          <w:szCs w:val="24"/>
        </w:rPr>
        <w:t xml:space="preserve"> </w:t>
      </w:r>
      <w:r>
        <w:rPr>
          <w:rFonts w:cs="Arial"/>
          <w:szCs w:val="24"/>
        </w:rPr>
        <w:t xml:space="preserve">all </w:t>
      </w:r>
      <w:r w:rsidRPr="00F32A5A">
        <w:rPr>
          <w:rFonts w:cs="Arial"/>
          <w:szCs w:val="24"/>
        </w:rPr>
        <w:t>appropriate training for the potential hazards associated with the work</w:t>
      </w:r>
      <w:r w:rsidR="005C3436">
        <w:rPr>
          <w:rFonts w:cs="Arial"/>
          <w:szCs w:val="24"/>
        </w:rPr>
        <w:t>,</w:t>
      </w:r>
      <w:r w:rsidRPr="00F32A5A">
        <w:rPr>
          <w:rFonts w:cs="Arial"/>
          <w:szCs w:val="24"/>
        </w:rPr>
        <w:t xml:space="preserve"> the necessary precautions to prevent exposures</w:t>
      </w:r>
      <w:r w:rsidR="005C3436">
        <w:rPr>
          <w:rFonts w:cs="Arial"/>
          <w:szCs w:val="24"/>
        </w:rPr>
        <w:t>,</w:t>
      </w:r>
      <w:r w:rsidRPr="00F32A5A">
        <w:rPr>
          <w:rFonts w:cs="Arial"/>
          <w:szCs w:val="24"/>
        </w:rPr>
        <w:t xml:space="preserve"> and the exposure </w:t>
      </w:r>
      <w:r>
        <w:rPr>
          <w:rFonts w:cs="Arial"/>
          <w:szCs w:val="24"/>
        </w:rPr>
        <w:t>prevention</w:t>
      </w:r>
      <w:r w:rsidRPr="00F32A5A">
        <w:rPr>
          <w:rFonts w:cs="Arial"/>
          <w:szCs w:val="24"/>
        </w:rPr>
        <w:t xml:space="preserve"> procedures</w:t>
      </w:r>
      <w:r>
        <w:rPr>
          <w:rFonts w:cs="Arial"/>
          <w:szCs w:val="24"/>
        </w:rPr>
        <w:t xml:space="preserve"> per Occupational Medical Services</w:t>
      </w:r>
      <w:r w:rsidRPr="00F32A5A">
        <w:rPr>
          <w:rFonts w:cs="Arial"/>
          <w:szCs w:val="24"/>
        </w:rPr>
        <w:t>.</w:t>
      </w:r>
    </w:p>
    <w:p w14:paraId="6D1A3827" w14:textId="77777777" w:rsidR="001A7AB9" w:rsidRPr="00F32A5A" w:rsidRDefault="001A7AB9" w:rsidP="00722064">
      <w:pPr>
        <w:numPr>
          <w:ilvl w:val="0"/>
          <w:numId w:val="6"/>
        </w:numPr>
        <w:tabs>
          <w:tab w:val="clear" w:pos="1140"/>
          <w:tab w:val="num" w:pos="810"/>
        </w:tabs>
        <w:spacing w:after="0" w:line="240" w:lineRule="auto"/>
        <w:ind w:left="810" w:hanging="450"/>
        <w:rPr>
          <w:rFonts w:cs="Arial"/>
          <w:szCs w:val="24"/>
        </w:rPr>
      </w:pPr>
      <w:r w:rsidRPr="00F32A5A">
        <w:rPr>
          <w:rFonts w:cs="Arial"/>
          <w:szCs w:val="24"/>
        </w:rPr>
        <w:t>Ensures biosafety procedures are incorporated into standard operating procedures for the laboratory.</w:t>
      </w:r>
    </w:p>
    <w:p w14:paraId="21E92A14" w14:textId="77777777" w:rsidR="001A7AB9" w:rsidRPr="00F32A5A" w:rsidRDefault="001A7AB9" w:rsidP="00722064">
      <w:pPr>
        <w:numPr>
          <w:ilvl w:val="0"/>
          <w:numId w:val="6"/>
        </w:numPr>
        <w:tabs>
          <w:tab w:val="clear" w:pos="1140"/>
          <w:tab w:val="num" w:pos="810"/>
        </w:tabs>
        <w:spacing w:before="100" w:beforeAutospacing="1" w:after="100" w:afterAutospacing="1" w:line="240" w:lineRule="auto"/>
        <w:ind w:left="810" w:hanging="450"/>
        <w:rPr>
          <w:rFonts w:cs="Arial"/>
          <w:color w:val="000000"/>
          <w:szCs w:val="24"/>
        </w:rPr>
      </w:pPr>
      <w:r w:rsidRPr="00F32A5A">
        <w:rPr>
          <w:rFonts w:cs="Arial"/>
          <w:color w:val="000000"/>
          <w:szCs w:val="24"/>
        </w:rPr>
        <w:t>Ensures personal protective equipment</w:t>
      </w:r>
      <w:r>
        <w:rPr>
          <w:rFonts w:cs="Arial"/>
          <w:color w:val="000000"/>
          <w:szCs w:val="24"/>
        </w:rPr>
        <w:t xml:space="preserve"> (PPE)</w:t>
      </w:r>
      <w:r w:rsidRPr="00F32A5A">
        <w:rPr>
          <w:rFonts w:cs="Arial"/>
          <w:color w:val="000000"/>
          <w:szCs w:val="24"/>
        </w:rPr>
        <w:t xml:space="preserve"> and necessary safety equipment is provided and used. </w:t>
      </w:r>
    </w:p>
    <w:p w14:paraId="09000920" w14:textId="5D717420" w:rsidR="001A7AB9" w:rsidRPr="00F32A5A" w:rsidRDefault="001A7AB9" w:rsidP="00722064">
      <w:pPr>
        <w:numPr>
          <w:ilvl w:val="0"/>
          <w:numId w:val="6"/>
        </w:numPr>
        <w:tabs>
          <w:tab w:val="clear" w:pos="1140"/>
          <w:tab w:val="left" w:pos="360"/>
          <w:tab w:val="num" w:pos="810"/>
        </w:tabs>
        <w:spacing w:after="0" w:line="240" w:lineRule="auto"/>
        <w:ind w:left="810" w:hanging="450"/>
        <w:rPr>
          <w:rFonts w:cs="Arial"/>
          <w:szCs w:val="24"/>
        </w:rPr>
      </w:pPr>
      <w:r w:rsidRPr="00F32A5A">
        <w:rPr>
          <w:rFonts w:cs="Arial"/>
          <w:color w:val="000000"/>
          <w:szCs w:val="24"/>
        </w:rPr>
        <w:t xml:space="preserve">Ensures compliance by laboratory personnel with </w:t>
      </w:r>
      <w:r>
        <w:rPr>
          <w:rFonts w:cs="Arial"/>
          <w:color w:val="000000"/>
          <w:szCs w:val="24"/>
        </w:rPr>
        <w:t xml:space="preserve">all </w:t>
      </w:r>
      <w:r w:rsidRPr="00F32A5A">
        <w:rPr>
          <w:rFonts w:cs="Arial"/>
          <w:color w:val="000000"/>
          <w:szCs w:val="24"/>
        </w:rPr>
        <w:t>relevant regulations, guidelines</w:t>
      </w:r>
      <w:r w:rsidR="005C3436">
        <w:rPr>
          <w:rFonts w:cs="Arial"/>
          <w:color w:val="000000"/>
          <w:szCs w:val="24"/>
        </w:rPr>
        <w:t>,</w:t>
      </w:r>
      <w:r w:rsidRPr="00F32A5A">
        <w:rPr>
          <w:rFonts w:cs="Arial"/>
          <w:color w:val="000000"/>
          <w:szCs w:val="24"/>
        </w:rPr>
        <w:t xml:space="preserve"> and policies</w:t>
      </w:r>
      <w:r>
        <w:rPr>
          <w:rFonts w:cs="Arial"/>
          <w:color w:val="000000"/>
          <w:szCs w:val="24"/>
        </w:rPr>
        <w:t>.</w:t>
      </w:r>
    </w:p>
    <w:p w14:paraId="616ACB84" w14:textId="77777777" w:rsidR="001A7AB9" w:rsidRPr="00F32A5A" w:rsidRDefault="001A7AB9" w:rsidP="00722064">
      <w:pPr>
        <w:numPr>
          <w:ilvl w:val="0"/>
          <w:numId w:val="6"/>
        </w:numPr>
        <w:tabs>
          <w:tab w:val="clear" w:pos="1140"/>
          <w:tab w:val="left" w:pos="360"/>
          <w:tab w:val="num" w:pos="810"/>
        </w:tabs>
        <w:spacing w:after="0" w:line="240" w:lineRule="auto"/>
        <w:ind w:left="810" w:hanging="450"/>
        <w:rPr>
          <w:rFonts w:cs="Arial"/>
          <w:szCs w:val="24"/>
        </w:rPr>
      </w:pPr>
      <w:r w:rsidRPr="00F32A5A">
        <w:rPr>
          <w:rFonts w:cs="Arial"/>
          <w:szCs w:val="24"/>
        </w:rPr>
        <w:t>Reviews and updates the Biosafety Manual annually</w:t>
      </w:r>
      <w:r>
        <w:rPr>
          <w:rFonts w:cs="Arial"/>
          <w:szCs w:val="24"/>
        </w:rPr>
        <w:t>, or more often as required</w:t>
      </w:r>
      <w:r w:rsidRPr="00F32A5A">
        <w:rPr>
          <w:rFonts w:cs="Arial"/>
          <w:szCs w:val="24"/>
        </w:rPr>
        <w:t>.</w:t>
      </w:r>
    </w:p>
    <w:p w14:paraId="590E7E50" w14:textId="77777777" w:rsidR="001A7AB9" w:rsidRPr="00F32A5A" w:rsidRDefault="001A7AB9" w:rsidP="00722064">
      <w:pPr>
        <w:numPr>
          <w:ilvl w:val="0"/>
          <w:numId w:val="6"/>
        </w:numPr>
        <w:tabs>
          <w:tab w:val="clear" w:pos="1140"/>
          <w:tab w:val="left" w:pos="360"/>
          <w:tab w:val="num" w:pos="810"/>
        </w:tabs>
        <w:spacing w:after="0" w:line="240" w:lineRule="auto"/>
        <w:ind w:left="810" w:hanging="450"/>
        <w:rPr>
          <w:rFonts w:cs="Arial"/>
          <w:szCs w:val="24"/>
        </w:rPr>
      </w:pPr>
      <w:r w:rsidRPr="00F32A5A">
        <w:rPr>
          <w:rFonts w:cs="Arial"/>
          <w:szCs w:val="24"/>
        </w:rPr>
        <w:t xml:space="preserve">Submits a written report to </w:t>
      </w:r>
      <w:r>
        <w:rPr>
          <w:rFonts w:cs="Arial"/>
          <w:szCs w:val="24"/>
        </w:rPr>
        <w:t xml:space="preserve">DOHS that may be submitted to the </w:t>
      </w:r>
      <w:r w:rsidRPr="00F32A5A">
        <w:rPr>
          <w:rFonts w:cs="Arial"/>
          <w:szCs w:val="24"/>
        </w:rPr>
        <w:t>Institutional Biosafety Committee concerning:</w:t>
      </w:r>
    </w:p>
    <w:p w14:paraId="1C10AA77" w14:textId="3916B1BB" w:rsidR="001A7AB9" w:rsidRPr="00F32A5A" w:rsidRDefault="001A7AB9" w:rsidP="00722064">
      <w:pPr>
        <w:numPr>
          <w:ilvl w:val="0"/>
          <w:numId w:val="8"/>
        </w:numPr>
        <w:tabs>
          <w:tab w:val="left" w:pos="360"/>
        </w:tabs>
        <w:spacing w:after="0" w:line="240" w:lineRule="auto"/>
        <w:rPr>
          <w:rFonts w:cs="Arial"/>
          <w:szCs w:val="24"/>
        </w:rPr>
      </w:pPr>
      <w:r w:rsidRPr="00F32A5A">
        <w:rPr>
          <w:rFonts w:cs="Arial"/>
          <w:szCs w:val="24"/>
        </w:rPr>
        <w:t>Any accident result</w:t>
      </w:r>
      <w:r>
        <w:rPr>
          <w:rFonts w:cs="Arial"/>
          <w:szCs w:val="24"/>
        </w:rPr>
        <w:t>ing</w:t>
      </w:r>
      <w:r w:rsidRPr="00F32A5A">
        <w:rPr>
          <w:rFonts w:cs="Arial"/>
          <w:szCs w:val="24"/>
        </w:rPr>
        <w:t xml:space="preserve"> in percutaneous inoculation, mucous membrane exposure, </w:t>
      </w:r>
      <w:r w:rsidR="00942813" w:rsidRPr="00F32A5A">
        <w:rPr>
          <w:rFonts w:cs="Arial"/>
          <w:szCs w:val="24"/>
        </w:rPr>
        <w:t>ingestion,</w:t>
      </w:r>
      <w:r w:rsidRPr="00F32A5A">
        <w:rPr>
          <w:rFonts w:cs="Arial"/>
          <w:szCs w:val="24"/>
        </w:rPr>
        <w:t xml:space="preserve"> or inhalation of biohazardous materials</w:t>
      </w:r>
      <w:r>
        <w:rPr>
          <w:rFonts w:cs="Arial"/>
          <w:szCs w:val="24"/>
        </w:rPr>
        <w:t>.</w:t>
      </w:r>
      <w:r w:rsidRPr="00F32A5A">
        <w:rPr>
          <w:rFonts w:cs="Arial"/>
          <w:szCs w:val="24"/>
        </w:rPr>
        <w:t xml:space="preserve"> </w:t>
      </w:r>
    </w:p>
    <w:p w14:paraId="4668642F" w14:textId="12C05D81" w:rsidR="001A7AB9" w:rsidRPr="00F32A5A" w:rsidRDefault="001A7AB9" w:rsidP="00722064">
      <w:pPr>
        <w:numPr>
          <w:ilvl w:val="0"/>
          <w:numId w:val="8"/>
        </w:numPr>
        <w:tabs>
          <w:tab w:val="left" w:pos="360"/>
        </w:tabs>
        <w:spacing w:after="0" w:line="240" w:lineRule="auto"/>
        <w:rPr>
          <w:rFonts w:cs="Arial"/>
          <w:szCs w:val="24"/>
        </w:rPr>
      </w:pPr>
      <w:r w:rsidRPr="00BD024E">
        <w:rPr>
          <w:rFonts w:cs="Arial"/>
          <w:szCs w:val="24"/>
        </w:rPr>
        <w:t xml:space="preserve">Any accident involving recombinant DNA research that leads to personal injury or illness or to a breach of containment must be reported to </w:t>
      </w:r>
      <w:r>
        <w:rPr>
          <w:rFonts w:cs="Arial"/>
          <w:szCs w:val="24"/>
        </w:rPr>
        <w:t>the DOHS</w:t>
      </w:r>
      <w:r w:rsidRPr="00BD024E">
        <w:rPr>
          <w:rFonts w:cs="Arial"/>
          <w:szCs w:val="24"/>
        </w:rPr>
        <w:t xml:space="preserve">. The </w:t>
      </w:r>
      <w:r>
        <w:rPr>
          <w:rFonts w:cs="Arial"/>
          <w:szCs w:val="24"/>
        </w:rPr>
        <w:t>DOHS</w:t>
      </w:r>
      <w:r w:rsidRPr="00BD024E">
        <w:rPr>
          <w:rFonts w:cs="Arial"/>
          <w:szCs w:val="24"/>
        </w:rPr>
        <w:t xml:space="preserve"> will investigate incidents as appropriate and notify the Institutional Biosafety Committee (IBC). Any reportable incidents under the National Institutes of Health (NIH) </w:t>
      </w:r>
      <w:r w:rsidRPr="00BD024E">
        <w:rPr>
          <w:rFonts w:cs="Arial"/>
          <w:i/>
          <w:szCs w:val="24"/>
        </w:rPr>
        <w:t xml:space="preserve">Guidelines for Research Involving Recombinant </w:t>
      </w:r>
      <w:r w:rsidR="001D55A0">
        <w:rPr>
          <w:rFonts w:cs="Arial"/>
          <w:i/>
          <w:szCs w:val="24"/>
        </w:rPr>
        <w:t>or Syntheti</w:t>
      </w:r>
      <w:r w:rsidR="00B40872">
        <w:rPr>
          <w:rFonts w:cs="Arial"/>
          <w:i/>
          <w:szCs w:val="24"/>
        </w:rPr>
        <w:t>c Nucleic Acid</w:t>
      </w:r>
      <w:r w:rsidR="005D3194">
        <w:rPr>
          <w:rFonts w:cs="Arial"/>
          <w:i/>
          <w:szCs w:val="24"/>
        </w:rPr>
        <w:t xml:space="preserve"> </w:t>
      </w:r>
      <w:r w:rsidRPr="00BD024E">
        <w:rPr>
          <w:rFonts w:cs="Arial"/>
          <w:i/>
          <w:szCs w:val="24"/>
        </w:rPr>
        <w:t>Molecules</w:t>
      </w:r>
      <w:r w:rsidRPr="00BD024E">
        <w:rPr>
          <w:rFonts w:cs="Arial"/>
          <w:szCs w:val="24"/>
        </w:rPr>
        <w:t xml:space="preserve"> </w:t>
      </w:r>
      <w:r w:rsidR="00D02C14">
        <w:rPr>
          <w:rFonts w:cs="Arial"/>
          <w:szCs w:val="24"/>
        </w:rPr>
        <w:t xml:space="preserve">(NIH Guidelines) </w:t>
      </w:r>
      <w:r w:rsidRPr="00BD024E">
        <w:rPr>
          <w:rFonts w:cs="Arial"/>
          <w:szCs w:val="24"/>
        </w:rPr>
        <w:t xml:space="preserve">will be jointly submitted by the IBC Chair and the Biosafety Office to NIH Office </w:t>
      </w:r>
      <w:r w:rsidR="004B33E5">
        <w:rPr>
          <w:rFonts w:cs="Arial"/>
          <w:szCs w:val="24"/>
        </w:rPr>
        <w:t>o</w:t>
      </w:r>
      <w:r w:rsidR="00645364">
        <w:rPr>
          <w:rFonts w:cs="Arial"/>
          <w:szCs w:val="24"/>
        </w:rPr>
        <w:t xml:space="preserve">f </w:t>
      </w:r>
      <w:r w:rsidR="00645364" w:rsidRPr="00645364">
        <w:rPr>
          <w:rFonts w:cs="Arial"/>
          <w:szCs w:val="24"/>
        </w:rPr>
        <w:t>Science</w:t>
      </w:r>
      <w:r w:rsidR="00645364">
        <w:rPr>
          <w:rFonts w:cs="Arial"/>
          <w:szCs w:val="24"/>
        </w:rPr>
        <w:t xml:space="preserve"> Policy</w:t>
      </w:r>
      <w:r w:rsidRPr="00BD024E">
        <w:rPr>
          <w:rFonts w:cs="Arial"/>
          <w:szCs w:val="24"/>
        </w:rPr>
        <w:t xml:space="preserve"> (</w:t>
      </w:r>
      <w:r w:rsidR="009E2B32">
        <w:rPr>
          <w:rFonts w:cs="Arial"/>
          <w:szCs w:val="24"/>
        </w:rPr>
        <w:t>OSP</w:t>
      </w:r>
      <w:r w:rsidRPr="00BD024E">
        <w:rPr>
          <w:rFonts w:cs="Arial"/>
          <w:szCs w:val="24"/>
        </w:rPr>
        <w:t>). Minor spills not involving a breach of the biological safety cabinet (</w:t>
      </w:r>
      <w:r w:rsidR="009E2B32">
        <w:rPr>
          <w:rFonts w:cs="Arial"/>
          <w:szCs w:val="24"/>
        </w:rPr>
        <w:t>BSC</w:t>
      </w:r>
      <w:r w:rsidRPr="00BD024E">
        <w:rPr>
          <w:rFonts w:cs="Arial"/>
          <w:szCs w:val="24"/>
        </w:rPr>
        <w:t>)</w:t>
      </w:r>
      <w:r>
        <w:rPr>
          <w:rFonts w:cs="Arial"/>
          <w:szCs w:val="24"/>
        </w:rPr>
        <w:t>,</w:t>
      </w:r>
      <w:r w:rsidRPr="00BD024E">
        <w:rPr>
          <w:rFonts w:cs="Arial"/>
          <w:szCs w:val="24"/>
        </w:rPr>
        <w:t xml:space="preserve"> or other primary containment device</w:t>
      </w:r>
      <w:r>
        <w:rPr>
          <w:rFonts w:cs="Arial"/>
          <w:szCs w:val="24"/>
        </w:rPr>
        <w:t>s and</w:t>
      </w:r>
      <w:r w:rsidRPr="00F32A5A">
        <w:rPr>
          <w:rFonts w:cs="Arial"/>
          <w:szCs w:val="24"/>
        </w:rPr>
        <w:t xml:space="preserve"> that were properly cleaned and decontaminated generally do not need to be reported.</w:t>
      </w:r>
    </w:p>
    <w:p w14:paraId="2DD82775" w14:textId="77777777" w:rsidR="001A7AB9" w:rsidRPr="00F32A5A" w:rsidRDefault="001A7AB9" w:rsidP="00722064">
      <w:pPr>
        <w:numPr>
          <w:ilvl w:val="0"/>
          <w:numId w:val="8"/>
        </w:numPr>
        <w:tabs>
          <w:tab w:val="left" w:pos="360"/>
        </w:tabs>
        <w:spacing w:after="0" w:line="240" w:lineRule="auto"/>
        <w:rPr>
          <w:rFonts w:cs="Arial"/>
          <w:szCs w:val="24"/>
        </w:rPr>
      </w:pPr>
      <w:r w:rsidRPr="00F32A5A">
        <w:rPr>
          <w:rFonts w:cs="Arial"/>
          <w:szCs w:val="24"/>
        </w:rPr>
        <w:t xml:space="preserve">Any incident causing exposure of personnel or </w:t>
      </w:r>
      <w:r>
        <w:rPr>
          <w:rFonts w:cs="Arial"/>
          <w:szCs w:val="24"/>
        </w:rPr>
        <w:t>release to the environment.</w:t>
      </w:r>
    </w:p>
    <w:p w14:paraId="586E78D0" w14:textId="77777777" w:rsidR="001A7AB9" w:rsidRPr="00F32A5A" w:rsidRDefault="001A7AB9" w:rsidP="00722064">
      <w:pPr>
        <w:numPr>
          <w:ilvl w:val="0"/>
          <w:numId w:val="8"/>
        </w:numPr>
        <w:tabs>
          <w:tab w:val="left" w:pos="360"/>
        </w:tabs>
        <w:spacing w:after="0" w:line="240" w:lineRule="auto"/>
        <w:rPr>
          <w:rFonts w:cs="Arial"/>
          <w:szCs w:val="24"/>
        </w:rPr>
      </w:pPr>
      <w:r w:rsidRPr="00F32A5A">
        <w:rPr>
          <w:rFonts w:cs="Arial"/>
          <w:szCs w:val="24"/>
        </w:rPr>
        <w:t>Any problem</w:t>
      </w:r>
      <w:r>
        <w:rPr>
          <w:rFonts w:cs="Arial"/>
          <w:szCs w:val="24"/>
        </w:rPr>
        <w:t>(</w:t>
      </w:r>
      <w:r w:rsidRPr="00F32A5A">
        <w:rPr>
          <w:rFonts w:cs="Arial"/>
          <w:szCs w:val="24"/>
        </w:rPr>
        <w:t>s</w:t>
      </w:r>
      <w:r>
        <w:rPr>
          <w:rFonts w:cs="Arial"/>
          <w:szCs w:val="24"/>
        </w:rPr>
        <w:t>)</w:t>
      </w:r>
      <w:r w:rsidRPr="00F32A5A">
        <w:rPr>
          <w:rFonts w:cs="Arial"/>
          <w:szCs w:val="24"/>
        </w:rPr>
        <w:t xml:space="preserve"> </w:t>
      </w:r>
      <w:r>
        <w:rPr>
          <w:rFonts w:cs="Arial"/>
          <w:szCs w:val="24"/>
        </w:rPr>
        <w:t xml:space="preserve">concerning the </w:t>
      </w:r>
      <w:r w:rsidRPr="00F32A5A">
        <w:rPr>
          <w:rFonts w:cs="Arial"/>
          <w:szCs w:val="24"/>
        </w:rPr>
        <w:t>operation and implementation of biological and physical containment safety procedures or equipment or facility failure</w:t>
      </w:r>
      <w:r w:rsidRPr="00F32A5A">
        <w:t>.</w:t>
      </w:r>
    </w:p>
    <w:p w14:paraId="29FDE7CF" w14:textId="77777777" w:rsidR="003012D7" w:rsidRPr="00B8195E" w:rsidRDefault="003012D7" w:rsidP="003012D7">
      <w:pPr>
        <w:autoSpaceDE w:val="0"/>
        <w:autoSpaceDN w:val="0"/>
        <w:adjustRightInd w:val="0"/>
        <w:spacing w:after="0" w:line="240" w:lineRule="auto"/>
      </w:pPr>
    </w:p>
    <w:p w14:paraId="0CB2BB6E" w14:textId="77777777" w:rsidR="00573F7D" w:rsidRPr="00573F7D" w:rsidRDefault="0080072F" w:rsidP="00573F7D">
      <w:pPr>
        <w:pStyle w:val="Heading2"/>
      </w:pPr>
      <w:bookmarkStart w:id="10" w:name="_Toc47685003"/>
      <w:r>
        <w:t>Laboratory Members</w:t>
      </w:r>
      <w:bookmarkEnd w:id="10"/>
      <w:r w:rsidR="00573F7D">
        <w:t xml:space="preserve"> </w:t>
      </w:r>
    </w:p>
    <w:p w14:paraId="3FCD2C86" w14:textId="77777777" w:rsidR="00573F7D" w:rsidRDefault="00573F7D" w:rsidP="001A7AB9"/>
    <w:p w14:paraId="3E5C601E" w14:textId="77777777" w:rsidR="001A7AB9" w:rsidRPr="00F32A5A" w:rsidRDefault="001A7AB9" w:rsidP="00722064">
      <w:pPr>
        <w:numPr>
          <w:ilvl w:val="0"/>
          <w:numId w:val="9"/>
        </w:numPr>
        <w:spacing w:after="0" w:line="240" w:lineRule="auto"/>
        <w:rPr>
          <w:rFonts w:cs="Arial"/>
        </w:rPr>
      </w:pPr>
      <w:r w:rsidRPr="00F32A5A">
        <w:rPr>
          <w:rFonts w:cs="Arial"/>
        </w:rPr>
        <w:t>Participate</w:t>
      </w:r>
      <w:r>
        <w:rPr>
          <w:rFonts w:cs="Arial"/>
        </w:rPr>
        <w:t xml:space="preserve"> </w:t>
      </w:r>
      <w:r w:rsidRPr="00F32A5A">
        <w:rPr>
          <w:rFonts w:cs="Arial"/>
          <w:color w:val="000000"/>
          <w:szCs w:val="24"/>
        </w:rPr>
        <w:t>in appropriate training and instruction</w:t>
      </w:r>
      <w:bookmarkStart w:id="11" w:name="ehsbo"/>
      <w:bookmarkStart w:id="12" w:name="Top"/>
      <w:bookmarkEnd w:id="11"/>
      <w:bookmarkEnd w:id="12"/>
      <w:r>
        <w:rPr>
          <w:rFonts w:cs="Arial"/>
          <w:color w:val="000000"/>
          <w:szCs w:val="24"/>
        </w:rPr>
        <w:t>.</w:t>
      </w:r>
    </w:p>
    <w:p w14:paraId="78E03C42" w14:textId="74BAD544" w:rsidR="001A7AB9" w:rsidRPr="00F32A5A" w:rsidRDefault="001A7AB9" w:rsidP="00722064">
      <w:pPr>
        <w:numPr>
          <w:ilvl w:val="0"/>
          <w:numId w:val="9"/>
        </w:numPr>
        <w:spacing w:after="0" w:line="240" w:lineRule="auto"/>
        <w:rPr>
          <w:rFonts w:cs="Arial"/>
        </w:rPr>
      </w:pPr>
      <w:r w:rsidRPr="00F32A5A">
        <w:rPr>
          <w:rFonts w:cs="Arial"/>
          <w:szCs w:val="24"/>
        </w:rPr>
        <w:t>C</w:t>
      </w:r>
      <w:r>
        <w:rPr>
          <w:rFonts w:cs="Arial"/>
          <w:color w:val="000000"/>
          <w:szCs w:val="24"/>
        </w:rPr>
        <w:t>omply</w:t>
      </w:r>
      <w:r w:rsidRPr="00F32A5A">
        <w:rPr>
          <w:rFonts w:cs="Arial"/>
          <w:color w:val="000000"/>
          <w:szCs w:val="24"/>
        </w:rPr>
        <w:t xml:space="preserve"> with </w:t>
      </w:r>
      <w:r w:rsidRPr="00F32A5A">
        <w:rPr>
          <w:rFonts w:cs="Arial"/>
          <w:szCs w:val="24"/>
        </w:rPr>
        <w:t>biosafety procedures</w:t>
      </w:r>
      <w:r>
        <w:rPr>
          <w:rFonts w:cs="Arial"/>
          <w:szCs w:val="24"/>
        </w:rPr>
        <w:t xml:space="preserve"> (e.g.</w:t>
      </w:r>
      <w:r w:rsidR="00851B6A">
        <w:rPr>
          <w:rFonts w:cs="Arial"/>
          <w:szCs w:val="24"/>
        </w:rPr>
        <w:t>,</w:t>
      </w:r>
      <w:r>
        <w:rPr>
          <w:rFonts w:cs="Arial"/>
          <w:szCs w:val="24"/>
        </w:rPr>
        <w:t xml:space="preserve"> engineering controls, PPE)</w:t>
      </w:r>
      <w:r w:rsidRPr="00F32A5A">
        <w:rPr>
          <w:rFonts w:cs="Arial"/>
          <w:szCs w:val="24"/>
        </w:rPr>
        <w:t>.</w:t>
      </w:r>
    </w:p>
    <w:p w14:paraId="4D749641" w14:textId="3B1FF355" w:rsidR="001A7AB9" w:rsidRPr="00F32A5A" w:rsidRDefault="001A7AB9" w:rsidP="00722064">
      <w:pPr>
        <w:numPr>
          <w:ilvl w:val="0"/>
          <w:numId w:val="9"/>
        </w:numPr>
        <w:spacing w:after="0" w:line="240" w:lineRule="auto"/>
        <w:rPr>
          <w:rFonts w:cs="Arial"/>
        </w:rPr>
      </w:pPr>
      <w:r>
        <w:rPr>
          <w:rFonts w:cs="Arial"/>
          <w:color w:val="000000"/>
          <w:szCs w:val="24"/>
        </w:rPr>
        <w:t>Report</w:t>
      </w:r>
      <w:r w:rsidRPr="00F32A5A">
        <w:rPr>
          <w:rFonts w:cs="Arial"/>
          <w:color w:val="000000"/>
          <w:szCs w:val="24"/>
        </w:rPr>
        <w:t xml:space="preserve"> all accidents, spills, exposure</w:t>
      </w:r>
      <w:r w:rsidR="002D1239">
        <w:rPr>
          <w:rFonts w:cs="Arial"/>
          <w:color w:val="000000"/>
          <w:szCs w:val="24"/>
        </w:rPr>
        <w:t xml:space="preserve"> incidents, or near misses</w:t>
      </w:r>
      <w:r w:rsidR="00936859">
        <w:rPr>
          <w:rFonts w:cs="Arial"/>
          <w:color w:val="000000"/>
          <w:szCs w:val="24"/>
        </w:rPr>
        <w:t xml:space="preserve"> as well as safety violations</w:t>
      </w:r>
      <w:r w:rsidR="00B17C36">
        <w:rPr>
          <w:rFonts w:cs="Arial"/>
          <w:color w:val="000000"/>
          <w:szCs w:val="24"/>
        </w:rPr>
        <w:t xml:space="preserve"> </w:t>
      </w:r>
      <w:r w:rsidRPr="00F32A5A">
        <w:rPr>
          <w:rFonts w:cs="Arial"/>
          <w:color w:val="000000"/>
          <w:szCs w:val="24"/>
        </w:rPr>
        <w:t xml:space="preserve">to </w:t>
      </w:r>
      <w:r>
        <w:rPr>
          <w:rFonts w:cs="Arial"/>
          <w:color w:val="000000"/>
          <w:szCs w:val="24"/>
        </w:rPr>
        <w:t xml:space="preserve">their </w:t>
      </w:r>
      <w:r w:rsidR="00EF13A4">
        <w:rPr>
          <w:rFonts w:cs="Arial"/>
          <w:color w:val="000000"/>
          <w:szCs w:val="24"/>
        </w:rPr>
        <w:t>S</w:t>
      </w:r>
      <w:r w:rsidRPr="00F32A5A">
        <w:rPr>
          <w:rFonts w:cs="Arial"/>
          <w:color w:val="000000"/>
          <w:szCs w:val="24"/>
        </w:rPr>
        <w:t>upervisor</w:t>
      </w:r>
      <w:r w:rsidR="00A06C61">
        <w:rPr>
          <w:rFonts w:cs="Arial"/>
          <w:color w:val="000000"/>
          <w:szCs w:val="24"/>
        </w:rPr>
        <w:t>.</w:t>
      </w:r>
      <w:r w:rsidR="00EF13A4">
        <w:rPr>
          <w:rFonts w:cs="Arial"/>
          <w:color w:val="000000"/>
          <w:szCs w:val="24"/>
        </w:rPr>
        <w:t xml:space="preserve"> </w:t>
      </w:r>
    </w:p>
    <w:p w14:paraId="0CB51335" w14:textId="72F8F9DA" w:rsidR="001A7AB9" w:rsidRPr="00DE05B3" w:rsidRDefault="001A7AB9" w:rsidP="00722064">
      <w:pPr>
        <w:numPr>
          <w:ilvl w:val="0"/>
          <w:numId w:val="9"/>
        </w:numPr>
        <w:spacing w:after="0" w:line="240" w:lineRule="auto"/>
        <w:rPr>
          <w:rFonts w:cs="Arial"/>
        </w:rPr>
      </w:pPr>
      <w:r>
        <w:rPr>
          <w:rFonts w:cs="Arial"/>
          <w:color w:val="000000"/>
          <w:szCs w:val="24"/>
        </w:rPr>
        <w:t>Review</w:t>
      </w:r>
      <w:r w:rsidRPr="00F32A5A">
        <w:rPr>
          <w:rFonts w:cs="Arial"/>
          <w:color w:val="000000"/>
          <w:szCs w:val="24"/>
        </w:rPr>
        <w:t xml:space="preserve"> the Biosafety Manual </w:t>
      </w:r>
      <w:r w:rsidR="00392AE1">
        <w:rPr>
          <w:rFonts w:cs="Arial"/>
          <w:color w:val="000000"/>
          <w:szCs w:val="24"/>
        </w:rPr>
        <w:t xml:space="preserve">at minimum </w:t>
      </w:r>
      <w:r w:rsidRPr="00F32A5A">
        <w:rPr>
          <w:rFonts w:cs="Arial"/>
          <w:color w:val="000000"/>
          <w:szCs w:val="24"/>
        </w:rPr>
        <w:t>annually</w:t>
      </w:r>
      <w:r w:rsidR="00DD1648">
        <w:rPr>
          <w:rFonts w:cs="Arial"/>
          <w:color w:val="000000"/>
          <w:szCs w:val="24"/>
        </w:rPr>
        <w:t xml:space="preserve"> or when </w:t>
      </w:r>
      <w:r w:rsidR="00ED4CE2">
        <w:rPr>
          <w:rFonts w:cs="Arial"/>
          <w:color w:val="000000"/>
          <w:szCs w:val="24"/>
        </w:rPr>
        <w:t>procedural or policy changes</w:t>
      </w:r>
      <w:r w:rsidR="0061197C">
        <w:rPr>
          <w:rFonts w:cs="Arial"/>
          <w:color w:val="000000"/>
          <w:szCs w:val="24"/>
        </w:rPr>
        <w:t xml:space="preserve"> occur</w:t>
      </w:r>
      <w:r w:rsidRPr="00F32A5A">
        <w:rPr>
          <w:rFonts w:cs="Arial"/>
          <w:color w:val="000000"/>
          <w:szCs w:val="24"/>
        </w:rPr>
        <w:t>.</w:t>
      </w:r>
    </w:p>
    <w:p w14:paraId="1F26A0C5" w14:textId="45E81D5A" w:rsidR="00971D70" w:rsidRDefault="00971D70" w:rsidP="00722064">
      <w:pPr>
        <w:pStyle w:val="ListParagraph"/>
        <w:numPr>
          <w:ilvl w:val="0"/>
          <w:numId w:val="9"/>
        </w:numPr>
      </w:pPr>
      <w:r>
        <w:t xml:space="preserve">Ensure name is registered as a researcher in at least one of the registrations listed for this </w:t>
      </w:r>
      <w:r w:rsidR="00851B6A">
        <w:t>lab</w:t>
      </w:r>
      <w:r>
        <w:t xml:space="preserve"> on the PI dashboard.</w:t>
      </w:r>
    </w:p>
    <w:p w14:paraId="43EABB77" w14:textId="0A7897A9" w:rsidR="00971D70" w:rsidRPr="00971D70" w:rsidRDefault="00971D70" w:rsidP="00722064">
      <w:pPr>
        <w:pStyle w:val="ListParagraph"/>
        <w:numPr>
          <w:ilvl w:val="0"/>
          <w:numId w:val="9"/>
        </w:numPr>
      </w:pPr>
      <w:r>
        <w:t>Ensure that a standard operating procedure (SOP) is in place for any experimental procedure conducted.</w:t>
      </w:r>
    </w:p>
    <w:p w14:paraId="77DFBA5A" w14:textId="77777777" w:rsidR="00B8195E" w:rsidRPr="00B8195E" w:rsidRDefault="00B8195E" w:rsidP="00B8195E"/>
    <w:p w14:paraId="7FAEBC75" w14:textId="77777777" w:rsidR="00041FD4" w:rsidRDefault="00041FD4" w:rsidP="0080072F">
      <w:pPr>
        <w:pStyle w:val="Heading1"/>
      </w:pPr>
      <w:bookmarkStart w:id="13" w:name="_Toc47685004"/>
      <w:r>
        <w:br w:type="page"/>
      </w:r>
    </w:p>
    <w:p w14:paraId="5CFCF45F" w14:textId="2F5F8CF1" w:rsidR="0080072F" w:rsidRDefault="0080072F" w:rsidP="0080072F">
      <w:pPr>
        <w:pStyle w:val="Heading1"/>
      </w:pPr>
      <w:r>
        <w:lastRenderedPageBreak/>
        <w:t>Training</w:t>
      </w:r>
      <w:bookmarkEnd w:id="13"/>
    </w:p>
    <w:p w14:paraId="6F37CD15" w14:textId="77777777" w:rsidR="00573F7D" w:rsidRDefault="00573F7D" w:rsidP="000A190C"/>
    <w:p w14:paraId="1342AC0E" w14:textId="77777777" w:rsidR="004A0518" w:rsidRPr="004A0518" w:rsidRDefault="004A0518" w:rsidP="00DE05B3">
      <w:pPr>
        <w:pStyle w:val="BodyText"/>
        <w:widowControl w:val="0"/>
        <w:autoSpaceDE w:val="0"/>
        <w:autoSpaceDN w:val="0"/>
        <w:adjustRightInd w:val="0"/>
        <w:spacing w:after="160"/>
        <w:rPr>
          <w:rFonts w:ascii="Arial" w:hAnsi="Arial" w:cs="Arial"/>
          <w:b w:val="0"/>
          <w:bCs/>
          <w:sz w:val="22"/>
          <w:szCs w:val="22"/>
        </w:rPr>
      </w:pPr>
      <w:r w:rsidRPr="004A0518">
        <w:rPr>
          <w:rFonts w:ascii="Arial" w:hAnsi="Arial" w:cs="Arial"/>
          <w:b w:val="0"/>
          <w:bCs/>
          <w:sz w:val="22"/>
          <w:szCs w:val="22"/>
        </w:rPr>
        <w:t xml:space="preserve">All laboratory personnel must successfully complete the following Safety Training Courses: </w:t>
      </w:r>
    </w:p>
    <w:p w14:paraId="7FCF573E" w14:textId="410BD635" w:rsidR="004A0518" w:rsidRPr="004A0518" w:rsidRDefault="00851B6A" w:rsidP="00C6675D">
      <w:pPr>
        <w:pStyle w:val="BodyText"/>
        <w:widowControl w:val="0"/>
        <w:numPr>
          <w:ilvl w:val="0"/>
          <w:numId w:val="20"/>
        </w:numPr>
        <w:autoSpaceDE w:val="0"/>
        <w:autoSpaceDN w:val="0"/>
        <w:adjustRightInd w:val="0"/>
        <w:spacing w:line="276" w:lineRule="auto"/>
        <w:ind w:left="720"/>
        <w:rPr>
          <w:rFonts w:ascii="Arial" w:hAnsi="Arial" w:cs="Arial"/>
          <w:b w:val="0"/>
          <w:bCs/>
          <w:sz w:val="22"/>
          <w:szCs w:val="22"/>
        </w:rPr>
      </w:pPr>
      <w:r>
        <w:rPr>
          <w:rFonts w:ascii="Arial" w:hAnsi="Arial" w:cs="Arial"/>
          <w:b w:val="0"/>
          <w:bCs/>
          <w:sz w:val="22"/>
          <w:szCs w:val="22"/>
        </w:rPr>
        <w:t>Introduction to Lab Safety</w:t>
      </w:r>
    </w:p>
    <w:p w14:paraId="5052F4A3" w14:textId="5DBDCA95" w:rsidR="004A0518" w:rsidRPr="004A0518" w:rsidRDefault="004A0518" w:rsidP="00C6675D">
      <w:pPr>
        <w:pStyle w:val="BodyText"/>
        <w:widowControl w:val="0"/>
        <w:numPr>
          <w:ilvl w:val="0"/>
          <w:numId w:val="20"/>
        </w:numPr>
        <w:autoSpaceDE w:val="0"/>
        <w:autoSpaceDN w:val="0"/>
        <w:adjustRightInd w:val="0"/>
        <w:spacing w:line="276" w:lineRule="auto"/>
        <w:ind w:left="720"/>
        <w:rPr>
          <w:rFonts w:ascii="Arial" w:hAnsi="Arial" w:cs="Arial"/>
          <w:b w:val="0"/>
          <w:bCs/>
          <w:sz w:val="22"/>
          <w:szCs w:val="22"/>
        </w:rPr>
      </w:pPr>
      <w:r w:rsidRPr="004A0518">
        <w:rPr>
          <w:rFonts w:ascii="Arial" w:hAnsi="Arial" w:cs="Arial"/>
          <w:b w:val="0"/>
          <w:bCs/>
          <w:sz w:val="22"/>
          <w:szCs w:val="22"/>
        </w:rPr>
        <w:t xml:space="preserve">Working Safety with HIV and Other Blood Borne Pathogens </w:t>
      </w:r>
      <w:r w:rsidRPr="004A0518">
        <w:rPr>
          <w:rStyle w:val="HTMLTypewriter"/>
          <w:rFonts w:ascii="Arial" w:eastAsia="Times" w:hAnsi="Arial" w:cs="Arial"/>
          <w:b w:val="0"/>
          <w:bCs/>
          <w:sz w:val="22"/>
          <w:szCs w:val="22"/>
        </w:rPr>
        <w:t xml:space="preserve">(required for </w:t>
      </w:r>
      <w:r w:rsidR="00851B6A">
        <w:rPr>
          <w:rStyle w:val="HTMLTypewriter"/>
          <w:rFonts w:ascii="Arial" w:eastAsia="Times" w:hAnsi="Arial" w:cs="Arial"/>
          <w:b w:val="0"/>
          <w:bCs/>
          <w:sz w:val="22"/>
          <w:szCs w:val="22"/>
        </w:rPr>
        <w:t xml:space="preserve">the </w:t>
      </w:r>
      <w:r w:rsidRPr="004A0518">
        <w:rPr>
          <w:rStyle w:val="HTMLTypewriter"/>
          <w:rFonts w:ascii="Arial" w:eastAsia="Times" w:hAnsi="Arial" w:cs="Arial"/>
          <w:b w:val="0"/>
          <w:bCs/>
          <w:sz w:val="22"/>
          <w:szCs w:val="22"/>
        </w:rPr>
        <w:t>use of human and non-human primate derived materials)</w:t>
      </w:r>
    </w:p>
    <w:p w14:paraId="197FE8A9" w14:textId="77777777" w:rsidR="004A0518" w:rsidRPr="004A0518" w:rsidRDefault="004A0518" w:rsidP="004A0518">
      <w:pPr>
        <w:pStyle w:val="BodyText"/>
        <w:widowControl w:val="0"/>
        <w:autoSpaceDE w:val="0"/>
        <w:autoSpaceDN w:val="0"/>
        <w:adjustRightInd w:val="0"/>
        <w:ind w:left="720"/>
        <w:rPr>
          <w:rFonts w:ascii="Arial" w:hAnsi="Arial" w:cs="Arial"/>
          <w:b w:val="0"/>
          <w:bCs/>
          <w:sz w:val="22"/>
          <w:szCs w:val="22"/>
        </w:rPr>
      </w:pPr>
      <w:r w:rsidRPr="004A0518">
        <w:rPr>
          <w:rFonts w:ascii="Arial" w:hAnsi="Arial" w:cs="Arial"/>
          <w:b w:val="0"/>
          <w:bCs/>
          <w:sz w:val="22"/>
          <w:szCs w:val="22"/>
        </w:rPr>
        <w:t xml:space="preserve"> </w:t>
      </w:r>
    </w:p>
    <w:p w14:paraId="5B0D4DE5" w14:textId="026E3C8F" w:rsidR="004A0518" w:rsidRDefault="004A0518" w:rsidP="004A0518">
      <w:pPr>
        <w:pStyle w:val="BodyText"/>
        <w:rPr>
          <w:rFonts w:ascii="Arial" w:hAnsi="Arial" w:cs="Arial"/>
          <w:b w:val="0"/>
          <w:bCs/>
          <w:sz w:val="22"/>
          <w:szCs w:val="22"/>
        </w:rPr>
      </w:pPr>
      <w:r w:rsidRPr="004A0518">
        <w:rPr>
          <w:rFonts w:ascii="Arial" w:hAnsi="Arial" w:cs="Arial"/>
          <w:b w:val="0"/>
          <w:bCs/>
          <w:sz w:val="22"/>
          <w:szCs w:val="22"/>
        </w:rPr>
        <w:t xml:space="preserve">Upon completion of the on-line safety course, </w:t>
      </w:r>
      <w:r w:rsidR="00851B6A">
        <w:rPr>
          <w:rFonts w:ascii="Arial" w:hAnsi="Arial" w:cs="Arial"/>
          <w:b w:val="0"/>
          <w:bCs/>
          <w:sz w:val="22"/>
          <w:szCs w:val="22"/>
        </w:rPr>
        <w:t>a</w:t>
      </w:r>
      <w:r w:rsidRPr="004A0518">
        <w:rPr>
          <w:rFonts w:ascii="Arial" w:hAnsi="Arial" w:cs="Arial"/>
          <w:b w:val="0"/>
          <w:bCs/>
          <w:sz w:val="22"/>
          <w:szCs w:val="22"/>
        </w:rPr>
        <w:t xml:space="preserve"> Certificate of Completion is provided as a record. Each year thereafter, laboratory personnel must complete the on-line refresher course. All laboratory personnel must retain their Certificate of Completion for each training course and </w:t>
      </w:r>
      <w:r w:rsidR="00851B6A">
        <w:rPr>
          <w:rFonts w:ascii="Arial" w:hAnsi="Arial" w:cs="Arial"/>
          <w:b w:val="0"/>
          <w:bCs/>
          <w:sz w:val="22"/>
          <w:szCs w:val="22"/>
        </w:rPr>
        <w:t>save them for their records</w:t>
      </w:r>
      <w:r w:rsidRPr="004A0518">
        <w:rPr>
          <w:rFonts w:ascii="Arial" w:hAnsi="Arial" w:cs="Arial"/>
          <w:b w:val="0"/>
          <w:bCs/>
          <w:sz w:val="22"/>
          <w:szCs w:val="22"/>
        </w:rPr>
        <w:t>. Training certificates for all laboratory staff must be included in Appendix B, along with records for certified shippers.</w:t>
      </w:r>
    </w:p>
    <w:p w14:paraId="743EA501" w14:textId="77777777" w:rsidR="000809F1" w:rsidRPr="004A0518" w:rsidRDefault="000809F1" w:rsidP="004A0518">
      <w:pPr>
        <w:pStyle w:val="BodyText"/>
        <w:rPr>
          <w:rFonts w:ascii="Arial" w:hAnsi="Arial" w:cs="Arial"/>
          <w:b w:val="0"/>
          <w:bCs/>
          <w:sz w:val="22"/>
          <w:szCs w:val="22"/>
        </w:rPr>
      </w:pPr>
    </w:p>
    <w:p w14:paraId="5F4C910B" w14:textId="124B82C1" w:rsidR="000F7F37" w:rsidRDefault="00851B6A" w:rsidP="000F7F37">
      <w:r>
        <w:rPr>
          <w:b/>
        </w:rPr>
        <w:t xml:space="preserve">To access all training courses (initial and refreshers), including the certified shipper training schedule, </w:t>
      </w:r>
      <w:r w:rsidR="004A0518" w:rsidRPr="000809F1">
        <w:rPr>
          <w:b/>
        </w:rPr>
        <w:t xml:space="preserve">please go to </w:t>
      </w:r>
      <w:hyperlink r:id="rId13" w:history="1">
        <w:r w:rsidR="004A0518" w:rsidRPr="000809F1">
          <w:rPr>
            <w:b/>
            <w:i/>
            <w:color w:val="4472C4" w:themeColor="accent1"/>
          </w:rPr>
          <w:t>http://www.safetytraining.nih.gov</w:t>
        </w:r>
      </w:hyperlink>
      <w:r w:rsidR="004A0518" w:rsidRPr="000809F1">
        <w:rPr>
          <w:b/>
        </w:rPr>
        <w:t>.</w:t>
      </w:r>
      <w:r w:rsidR="00CA5189" w:rsidRPr="000809F1">
        <w:rPr>
          <w:b/>
        </w:rPr>
        <w:t xml:space="preserve"> </w:t>
      </w:r>
    </w:p>
    <w:p w14:paraId="6C1205D3" w14:textId="77777777" w:rsidR="000F7F37" w:rsidRPr="000F7F37" w:rsidRDefault="000F7F37" w:rsidP="000F7F37"/>
    <w:p w14:paraId="0A766691" w14:textId="35FB1DB0" w:rsidR="0080072F" w:rsidRDefault="0080072F" w:rsidP="0080072F">
      <w:pPr>
        <w:pStyle w:val="Heading2"/>
      </w:pPr>
      <w:bookmarkStart w:id="14" w:name="_Toc47685024"/>
      <w:r>
        <w:t>Standard Microbiological Practices</w:t>
      </w:r>
      <w:bookmarkEnd w:id="14"/>
    </w:p>
    <w:p w14:paraId="34B81ADD" w14:textId="77777777" w:rsidR="00851B6A" w:rsidRPr="00D80DF5" w:rsidRDefault="00851B6A" w:rsidP="00851B6A">
      <w:pPr>
        <w:rPr>
          <w:rFonts w:cs="Arial"/>
        </w:rPr>
      </w:pPr>
      <w:r w:rsidRPr="00D80DF5">
        <w:rPr>
          <w:rFonts w:cs="Arial"/>
        </w:rPr>
        <w:t xml:space="preserve">Many experimental procedures in BSL-2 laboratories can be safely done on the open laboratory bench utilizing good microbiological techniques and appropriate personal protective equipment (PPE) </w:t>
      </w:r>
      <w:r w:rsidRPr="00D80DF5">
        <w:rPr>
          <w:rFonts w:cs="Arial"/>
          <w:i/>
        </w:rPr>
        <w:t>except</w:t>
      </w:r>
      <w:r w:rsidRPr="00D80DF5">
        <w:rPr>
          <w:rFonts w:cs="Arial"/>
        </w:rPr>
        <w:t xml:space="preserve"> when performing activities that may produce aerosols or splashes. If there is any doubt, consult your Safety Specialist at </w:t>
      </w:r>
      <w:hyperlink r:id="rId14" w:history="1">
        <w:r w:rsidRPr="00D80DF5">
          <w:rPr>
            <w:rStyle w:val="Hyperlink"/>
            <w:rFonts w:cs="Arial"/>
          </w:rPr>
          <w:t>https://www.ors.od.nih.gov/sr/dohs/safety/laboratory/Pages/safety_health_specialists.aspx</w:t>
        </w:r>
      </w:hyperlink>
      <w:r w:rsidRPr="00D80DF5">
        <w:rPr>
          <w:rFonts w:cs="Arial"/>
        </w:rPr>
        <w:t xml:space="preserve"> .</w:t>
      </w:r>
    </w:p>
    <w:p w14:paraId="15EB53A6" w14:textId="77777777" w:rsidR="00851B6A" w:rsidRPr="00D80DF5" w:rsidRDefault="00851B6A" w:rsidP="00851B6A">
      <w:pPr>
        <w:tabs>
          <w:tab w:val="left" w:pos="1440"/>
          <w:tab w:val="left" w:pos="1800"/>
        </w:tabs>
        <w:rPr>
          <w:rFonts w:cs="Arial"/>
        </w:rPr>
      </w:pPr>
      <w:r w:rsidRPr="00D80DF5">
        <w:rPr>
          <w:rFonts w:cs="Arial"/>
        </w:rPr>
        <w:t>Procedures with the potential for aerosolizing infectious materials or splashes must be performed in a certified biological safety cabinet (BSC). These procedures may include centrifuging, grinding, blending, vigorous shaking or mixing, sonic disruption, opening containers of infectious materials whose internal pressures may be different from ambient pressures, inoculating animals intranasally, and harvesting infected tissues from animals or embryonate eggs.</w:t>
      </w:r>
    </w:p>
    <w:p w14:paraId="16948879" w14:textId="2B089137" w:rsidR="00D80DF5" w:rsidRPr="00FF7B5E" w:rsidRDefault="00D80DF5" w:rsidP="00140D38">
      <w:pPr>
        <w:numPr>
          <w:ilvl w:val="1"/>
          <w:numId w:val="7"/>
        </w:numPr>
        <w:tabs>
          <w:tab w:val="clear" w:pos="1860"/>
          <w:tab w:val="num" w:pos="720"/>
        </w:tabs>
        <w:spacing w:after="0" w:line="276" w:lineRule="auto"/>
        <w:ind w:left="720"/>
        <w:rPr>
          <w:rFonts w:cs="Arial"/>
        </w:rPr>
      </w:pPr>
      <w:r w:rsidRPr="00FF7B5E">
        <w:rPr>
          <w:rFonts w:cs="Arial"/>
        </w:rPr>
        <w:t>Access to the BSL-2</w:t>
      </w:r>
      <w:r w:rsidR="00851B6A">
        <w:rPr>
          <w:rFonts w:cs="Arial"/>
        </w:rPr>
        <w:t xml:space="preserve"> and/or 2/3</w:t>
      </w:r>
      <w:r w:rsidRPr="00FF7B5E">
        <w:rPr>
          <w:rFonts w:cs="Arial"/>
        </w:rPr>
        <w:t xml:space="preserve"> laboratory is restricted when work with biological agents is in progress. Access may be restricted by locking doors (depending on risk associated with procedures), posting warning signs or using other suitable methods as determined by the Principal Investigator.</w:t>
      </w:r>
    </w:p>
    <w:p w14:paraId="5B443916" w14:textId="3E0CA759" w:rsidR="00D80DF5" w:rsidRPr="00FF7B5E" w:rsidRDefault="00D80DF5" w:rsidP="00140D38">
      <w:pPr>
        <w:numPr>
          <w:ilvl w:val="0"/>
          <w:numId w:val="11"/>
        </w:numPr>
        <w:spacing w:after="0" w:line="276" w:lineRule="auto"/>
        <w:rPr>
          <w:rFonts w:cs="Arial"/>
        </w:rPr>
      </w:pPr>
      <w:r w:rsidRPr="00FF7B5E">
        <w:rPr>
          <w:rFonts w:cs="Arial"/>
        </w:rPr>
        <w:t>A bio</w:t>
      </w:r>
      <w:r w:rsidR="00851B6A">
        <w:rPr>
          <w:rFonts w:cs="Arial"/>
        </w:rPr>
        <w:t>logical safety level</w:t>
      </w:r>
      <w:r w:rsidRPr="00FF7B5E">
        <w:rPr>
          <w:rFonts w:cs="Arial"/>
        </w:rPr>
        <w:t xml:space="preserve"> sign must be posted on the entrance door to the laboratory. Information to be posted includes the agent(s) in use, the </w:t>
      </w:r>
      <w:r w:rsidR="00075766">
        <w:rPr>
          <w:rFonts w:cs="Arial"/>
        </w:rPr>
        <w:t>b</w:t>
      </w:r>
      <w:r w:rsidRPr="00FF7B5E">
        <w:rPr>
          <w:rFonts w:cs="Arial"/>
        </w:rPr>
        <w:t xml:space="preserve">iosafety level, the investigator's name and telephone number, </w:t>
      </w:r>
      <w:r w:rsidR="00075766">
        <w:rPr>
          <w:rFonts w:cs="Arial"/>
        </w:rPr>
        <w:t xml:space="preserve">a secondary contact, </w:t>
      </w:r>
      <w:r w:rsidRPr="00FF7B5E">
        <w:rPr>
          <w:rFonts w:cs="Arial"/>
        </w:rPr>
        <w:t xml:space="preserve">any additional </w:t>
      </w:r>
      <w:r w:rsidR="00075766">
        <w:rPr>
          <w:rFonts w:cs="Arial"/>
        </w:rPr>
        <w:t xml:space="preserve">entry </w:t>
      </w:r>
      <w:r w:rsidRPr="00FF7B5E">
        <w:rPr>
          <w:rFonts w:cs="Arial"/>
        </w:rPr>
        <w:t>requirement</w:t>
      </w:r>
      <w:r w:rsidR="00AC757F">
        <w:rPr>
          <w:rFonts w:cs="Arial"/>
        </w:rPr>
        <w:t>s</w:t>
      </w:r>
      <w:r w:rsidR="002F7ED6">
        <w:rPr>
          <w:rFonts w:cs="Arial"/>
        </w:rPr>
        <w:t>,</w:t>
      </w:r>
      <w:r w:rsidRPr="00FF7B5E">
        <w:rPr>
          <w:rFonts w:cs="Arial"/>
        </w:rPr>
        <w:t xml:space="preserve"> and personal protective equipment that must be worn in the laboratory.</w:t>
      </w:r>
    </w:p>
    <w:p w14:paraId="44541DD4" w14:textId="33675A2D" w:rsidR="00D80DF5" w:rsidRDefault="00D80DF5" w:rsidP="00140D38">
      <w:pPr>
        <w:numPr>
          <w:ilvl w:val="0"/>
          <w:numId w:val="11"/>
        </w:numPr>
        <w:spacing w:after="0" w:line="276" w:lineRule="auto"/>
        <w:rPr>
          <w:rFonts w:cs="Arial"/>
        </w:rPr>
      </w:pPr>
      <w:r w:rsidRPr="00FF7B5E">
        <w:rPr>
          <w:rFonts w:cs="Arial"/>
        </w:rPr>
        <w:t>Persons must wash their hands after they handle viable materials, after removing gloves</w:t>
      </w:r>
      <w:r w:rsidR="2F00B249" w:rsidRPr="4608B6DD">
        <w:rPr>
          <w:rFonts w:cs="Arial"/>
        </w:rPr>
        <w:t>,</w:t>
      </w:r>
      <w:r w:rsidRPr="00FF7B5E">
        <w:rPr>
          <w:rFonts w:cs="Arial"/>
        </w:rPr>
        <w:t xml:space="preserve"> and before leaving the laboratory.</w:t>
      </w:r>
    </w:p>
    <w:p w14:paraId="7D1B31F3" w14:textId="3773A47C" w:rsidR="00D80DF5" w:rsidRDefault="0065388F" w:rsidP="00140D38">
      <w:pPr>
        <w:numPr>
          <w:ilvl w:val="0"/>
          <w:numId w:val="11"/>
        </w:numPr>
        <w:spacing w:after="0" w:line="276" w:lineRule="auto"/>
        <w:rPr>
          <w:rFonts w:cs="Arial"/>
        </w:rPr>
      </w:pPr>
      <w:r>
        <w:t xml:space="preserve">Eating, drinking, smoking, handling contact lenses, and applying cosmetics are not permitted in any NIH laboratory. Food and beverages </w:t>
      </w:r>
      <w:r w:rsidR="00075766">
        <w:t>must</w:t>
      </w:r>
      <w:r>
        <w:t xml:space="preserve"> be stored in designated areas</w:t>
      </w:r>
      <w:r w:rsidR="007C5AA9">
        <w:t>, outside of the lab</w:t>
      </w:r>
      <w:r>
        <w:t>.</w:t>
      </w:r>
    </w:p>
    <w:p w14:paraId="7AA59980" w14:textId="3F1E010D" w:rsidR="0065388F" w:rsidRPr="00D80DF5" w:rsidRDefault="0065388F" w:rsidP="00140D38">
      <w:pPr>
        <w:numPr>
          <w:ilvl w:val="0"/>
          <w:numId w:val="11"/>
        </w:numPr>
        <w:spacing w:after="0" w:line="276" w:lineRule="auto"/>
        <w:rPr>
          <w:rFonts w:cs="Arial"/>
        </w:rPr>
      </w:pPr>
      <w:r w:rsidRPr="0065388F">
        <w:t xml:space="preserve">Mouth pipetting is prohibited; mechanical pipetting devices must be used. </w:t>
      </w:r>
    </w:p>
    <w:p w14:paraId="2CEF7D2E" w14:textId="77777777" w:rsidR="00D80DF5" w:rsidRPr="00FF7B5E" w:rsidRDefault="00D80DF5" w:rsidP="00140D38">
      <w:pPr>
        <w:numPr>
          <w:ilvl w:val="0"/>
          <w:numId w:val="11"/>
        </w:numPr>
        <w:spacing w:after="0" w:line="276" w:lineRule="auto"/>
        <w:rPr>
          <w:rFonts w:cs="Arial"/>
        </w:rPr>
      </w:pPr>
      <w:r w:rsidRPr="00FF7B5E">
        <w:rPr>
          <w:rFonts w:cs="Arial"/>
        </w:rPr>
        <w:lastRenderedPageBreak/>
        <w:t xml:space="preserve">All procedures are performed carefully to minimize splashes or aerosols. </w:t>
      </w:r>
    </w:p>
    <w:p w14:paraId="7AA22BBE" w14:textId="77777777" w:rsidR="00D80DF5" w:rsidRPr="00FF7B5E" w:rsidRDefault="00D80DF5" w:rsidP="00140D38">
      <w:pPr>
        <w:numPr>
          <w:ilvl w:val="0"/>
          <w:numId w:val="11"/>
        </w:numPr>
        <w:spacing w:after="0" w:line="276" w:lineRule="auto"/>
        <w:rPr>
          <w:rFonts w:cs="Arial"/>
        </w:rPr>
      </w:pPr>
      <w:r w:rsidRPr="00FF7B5E">
        <w:rPr>
          <w:rFonts w:cs="Arial"/>
        </w:rPr>
        <w:t>Work surfaces must be decontaminated with appropriate disinfectants upon completion of work or at the end of the day and after any spill or splash of viable material.</w:t>
      </w:r>
    </w:p>
    <w:p w14:paraId="3A7516A7" w14:textId="659A9472" w:rsidR="00D80DF5" w:rsidRDefault="00D80DF5" w:rsidP="00140D38">
      <w:pPr>
        <w:numPr>
          <w:ilvl w:val="0"/>
          <w:numId w:val="11"/>
        </w:numPr>
        <w:spacing w:after="0" w:line="276" w:lineRule="auto"/>
        <w:rPr>
          <w:rFonts w:cs="Arial"/>
        </w:rPr>
      </w:pPr>
      <w:r w:rsidRPr="00FF7B5E">
        <w:rPr>
          <w:rFonts w:cs="Arial"/>
        </w:rPr>
        <w:t xml:space="preserve">Chairs and other furniture must be constructed of a non-porous material that can be easily decontaminated. Carpets and rugs in laboratories are prohibited.  </w:t>
      </w:r>
    </w:p>
    <w:p w14:paraId="4B2C487B" w14:textId="6F6E02F3" w:rsidR="00D80DF5" w:rsidRPr="00FF7B5E" w:rsidRDefault="00D80DF5" w:rsidP="00140D38">
      <w:pPr>
        <w:numPr>
          <w:ilvl w:val="0"/>
          <w:numId w:val="11"/>
        </w:numPr>
        <w:spacing w:after="0" w:line="276" w:lineRule="auto"/>
        <w:rPr>
          <w:rFonts w:cs="Arial"/>
        </w:rPr>
      </w:pPr>
      <w:r w:rsidRPr="00FF7B5E">
        <w:rPr>
          <w:rFonts w:cs="Arial"/>
        </w:rPr>
        <w:t>All cultures, stocks, contaminated wastes</w:t>
      </w:r>
      <w:r w:rsidR="002F7ED6">
        <w:rPr>
          <w:rFonts w:cs="Arial"/>
        </w:rPr>
        <w:t>,</w:t>
      </w:r>
      <w:r w:rsidRPr="00FF7B5E">
        <w:rPr>
          <w:rFonts w:cs="Arial"/>
        </w:rPr>
        <w:t xml:space="preserve"> and other Medical Pathological Waste (MPW) must be  disposed of in accordance with the NIH Infectious Waste Disposal Procedures </w:t>
      </w:r>
      <w:r w:rsidR="00075766" w:rsidRPr="00FF7B5E">
        <w:rPr>
          <w:rFonts w:cs="Arial"/>
        </w:rPr>
        <w:t xml:space="preserve">(see the NIH Waste Disposal Guide at </w:t>
      </w:r>
      <w:bookmarkStart w:id="15" w:name="_Hlk129022961"/>
      <w:r w:rsidR="00075766" w:rsidRPr="00FF7B5E">
        <w:rPr>
          <w:rFonts w:cs="Arial"/>
        </w:rPr>
        <w:t xml:space="preserve"> </w:t>
      </w:r>
      <w:hyperlink r:id="rId15" w:history="1">
        <w:r w:rsidR="00075766" w:rsidRPr="006C74DD">
          <w:rPr>
            <w:color w:val="0000FF"/>
            <w:u w:val="single"/>
          </w:rPr>
          <w:t>NIH Waste Disposal Guide 2022</w:t>
        </w:r>
      </w:hyperlink>
      <w:bookmarkEnd w:id="15"/>
      <w:r w:rsidR="00075766">
        <w:rPr>
          <w:color w:val="0000FF"/>
          <w:u w:val="single"/>
        </w:rPr>
        <w:t>)</w:t>
      </w:r>
      <w:r w:rsidRPr="00FF7B5E">
        <w:rPr>
          <w:rFonts w:cs="Arial"/>
        </w:rPr>
        <w:t xml:space="preserve">  </w:t>
      </w:r>
    </w:p>
    <w:p w14:paraId="421555EA" w14:textId="77777777" w:rsidR="0065388F" w:rsidRPr="00D80DF5" w:rsidRDefault="0065388F" w:rsidP="00140D38">
      <w:pPr>
        <w:numPr>
          <w:ilvl w:val="0"/>
          <w:numId w:val="11"/>
        </w:numPr>
        <w:spacing w:after="0" w:line="276" w:lineRule="auto"/>
        <w:rPr>
          <w:rFonts w:cs="Arial"/>
        </w:rPr>
      </w:pPr>
      <w:r w:rsidRPr="0065388F">
        <w:t xml:space="preserve">A sharps management program is in place: </w:t>
      </w:r>
    </w:p>
    <w:p w14:paraId="6D8786B0" w14:textId="2F219463" w:rsidR="00D80DF5" w:rsidRDefault="0065388F" w:rsidP="00140D38">
      <w:pPr>
        <w:pStyle w:val="ListParagraph"/>
        <w:numPr>
          <w:ilvl w:val="1"/>
          <w:numId w:val="2"/>
        </w:numPr>
        <w:spacing w:line="276" w:lineRule="auto"/>
      </w:pPr>
      <w:r w:rsidRPr="0065388F">
        <w:t>The use of needles, razor blades, scalpels</w:t>
      </w:r>
      <w:r w:rsidR="002F7ED6">
        <w:t>,</w:t>
      </w:r>
      <w:r w:rsidRPr="0065388F">
        <w:t xml:space="preserve"> or other sharp instruments shall be restricted in the laboratory</w:t>
      </w:r>
      <w:r>
        <w:t xml:space="preserve"> </w:t>
      </w:r>
      <w:r w:rsidRPr="0065388F">
        <w:t xml:space="preserve">and used only when there is no alternative. </w:t>
      </w:r>
    </w:p>
    <w:p w14:paraId="2756240C" w14:textId="2747189A" w:rsidR="0065388F" w:rsidRPr="00D80DF5" w:rsidRDefault="0065388F" w:rsidP="00140D38">
      <w:pPr>
        <w:pStyle w:val="ListParagraph"/>
        <w:numPr>
          <w:ilvl w:val="1"/>
          <w:numId w:val="2"/>
        </w:numPr>
        <w:spacing w:line="276" w:lineRule="auto"/>
      </w:pPr>
      <w:r w:rsidRPr="0065388F">
        <w:t xml:space="preserve">Used disposable needles must not be bent, sheared, broken, recapped, removed from disposable syringes, or otherwise manipulated by hand before disposal; rather, they must be carefully placed in a conveniently located sharps container. </w:t>
      </w:r>
      <w:r w:rsidR="00D80DF5" w:rsidRPr="00D80DF5">
        <w:rPr>
          <w:rFonts w:cs="Arial"/>
        </w:rPr>
        <w:t xml:space="preserve">Non-disposable sharps must be placed in a hard-walled container for transported to a processing area for decontamination, preferably by autoclaving. </w:t>
      </w:r>
    </w:p>
    <w:p w14:paraId="2EB1A67E" w14:textId="78B314D5" w:rsidR="0065388F" w:rsidRPr="0065388F" w:rsidRDefault="0065388F" w:rsidP="00140D38">
      <w:pPr>
        <w:pStyle w:val="ListParagraph"/>
        <w:numPr>
          <w:ilvl w:val="1"/>
          <w:numId w:val="2"/>
        </w:numPr>
        <w:spacing w:line="276" w:lineRule="auto"/>
      </w:pPr>
      <w:r w:rsidRPr="0065388F">
        <w:t>Syringes which re-sheathe the needle, needleless systems</w:t>
      </w:r>
      <w:r w:rsidR="002F7ED6">
        <w:t>,</w:t>
      </w:r>
      <w:r w:rsidRPr="0065388F">
        <w:t xml:space="preserve"> and other safety devices are to be used when </w:t>
      </w:r>
      <w:r w:rsidR="002F7ED6">
        <w:t xml:space="preserve">available and </w:t>
      </w:r>
      <w:r w:rsidRPr="0065388F">
        <w:t xml:space="preserve">appropriate. </w:t>
      </w:r>
    </w:p>
    <w:p w14:paraId="11C0516C" w14:textId="40193CC1" w:rsidR="0065388F" w:rsidRPr="0065388F" w:rsidRDefault="0065388F" w:rsidP="00140D38">
      <w:pPr>
        <w:pStyle w:val="ListParagraph"/>
        <w:numPr>
          <w:ilvl w:val="1"/>
          <w:numId w:val="2"/>
        </w:numPr>
        <w:spacing w:after="0" w:line="276" w:lineRule="auto"/>
      </w:pPr>
      <w:r w:rsidRPr="0065388F">
        <w:t>Broken glassware or other sharps must not be directly handled, but must be cleaned up using mechanical means, such as a brush and dustpan, tongs, or forceps.</w:t>
      </w:r>
    </w:p>
    <w:p w14:paraId="4BD6E281" w14:textId="093315BC" w:rsidR="00626E5A" w:rsidRPr="00626E5A" w:rsidRDefault="00626E5A" w:rsidP="00140D38">
      <w:pPr>
        <w:numPr>
          <w:ilvl w:val="0"/>
          <w:numId w:val="11"/>
        </w:numPr>
        <w:spacing w:after="0" w:line="276" w:lineRule="auto"/>
        <w:rPr>
          <w:rFonts w:cs="Arial"/>
        </w:rPr>
      </w:pPr>
      <w:r w:rsidRPr="00FF7B5E">
        <w:rPr>
          <w:rFonts w:cs="Arial"/>
        </w:rPr>
        <w:t>Cultures, tissues, specimens of body fluids, or potentially infectious wastes are to be placed in a container with a cover that prevents leakage during handling, processing</w:t>
      </w:r>
      <w:r w:rsidR="002F7ED6">
        <w:rPr>
          <w:rFonts w:cs="Arial"/>
        </w:rPr>
        <w:t>,</w:t>
      </w:r>
      <w:r w:rsidRPr="00FF7B5E">
        <w:rPr>
          <w:rFonts w:cs="Arial"/>
        </w:rPr>
        <w:t xml:space="preserve"> and storage.</w:t>
      </w:r>
    </w:p>
    <w:p w14:paraId="31DA561C" w14:textId="1628156A" w:rsidR="00626E5A" w:rsidRPr="00FF7B5E" w:rsidRDefault="00626E5A" w:rsidP="00140D38">
      <w:pPr>
        <w:numPr>
          <w:ilvl w:val="0"/>
          <w:numId w:val="11"/>
        </w:numPr>
        <w:spacing w:after="0" w:line="276" w:lineRule="auto"/>
        <w:rPr>
          <w:rFonts w:cs="Arial"/>
        </w:rPr>
      </w:pPr>
      <w:r w:rsidRPr="00FF7B5E">
        <w:rPr>
          <w:rFonts w:cs="Arial"/>
        </w:rPr>
        <w:t>Biological agents prepared for transport must be placed in a secondary leak-proof</w:t>
      </w:r>
      <w:r w:rsidR="00075766">
        <w:rPr>
          <w:rFonts w:cs="Arial"/>
        </w:rPr>
        <w:t>, unbreakable</w:t>
      </w:r>
      <w:r w:rsidRPr="00FF7B5E">
        <w:rPr>
          <w:rFonts w:cs="Arial"/>
        </w:rPr>
        <w:t xml:space="preserve"> carrier. Carriers must have the biohazard label, including the identity of the agent, affixed to the outer surface of the transport container. Off-site shipping requires packaging by a certified shipper. </w:t>
      </w:r>
    </w:p>
    <w:p w14:paraId="173DDF03" w14:textId="77777777" w:rsidR="0065388F" w:rsidRPr="0065388F" w:rsidRDefault="0065388F" w:rsidP="00140D38">
      <w:pPr>
        <w:pStyle w:val="ListParagraph"/>
        <w:numPr>
          <w:ilvl w:val="0"/>
          <w:numId w:val="11"/>
        </w:numPr>
        <w:spacing w:line="276" w:lineRule="auto"/>
      </w:pPr>
      <w:r w:rsidRPr="0065388F">
        <w:t xml:space="preserve">Contaminated equipment must be decontaminated before it is sent for repair or maintenance or before removal from the laboratory. If not possible to completely decontaminate interior surfaces, then equipment must be appropriately labeled to warn those handling it. </w:t>
      </w:r>
    </w:p>
    <w:p w14:paraId="3BA1388D" w14:textId="77777777" w:rsidR="0065388F" w:rsidRPr="0065388F" w:rsidRDefault="0065388F" w:rsidP="00140D38">
      <w:pPr>
        <w:pStyle w:val="ListParagraph"/>
        <w:numPr>
          <w:ilvl w:val="0"/>
          <w:numId w:val="11"/>
        </w:numPr>
        <w:spacing w:line="276" w:lineRule="auto"/>
      </w:pPr>
      <w:r w:rsidRPr="0065388F">
        <w:t>Spills and accidents that result in exposures to infectious materials must be immediately reported to Occupational Medical Services (301-496-4411, Bldg. 10/6C). Follow-up by notifying the lab manager and the safety manager as soon as feasible following your visit to OMS.</w:t>
      </w:r>
    </w:p>
    <w:p w14:paraId="3A768679" w14:textId="49B3FE4B" w:rsidR="5138F86F" w:rsidRDefault="5138F86F" w:rsidP="00140D38">
      <w:pPr>
        <w:pStyle w:val="ListParagraph"/>
        <w:numPr>
          <w:ilvl w:val="0"/>
          <w:numId w:val="11"/>
        </w:numPr>
        <w:spacing w:line="276" w:lineRule="auto"/>
      </w:pPr>
      <w:r>
        <w:t>An effective integrated program for pest management is implemented.</w:t>
      </w:r>
    </w:p>
    <w:p w14:paraId="3303577C" w14:textId="77777777" w:rsidR="002D4E5D" w:rsidRDefault="0065388F" w:rsidP="00140D38">
      <w:pPr>
        <w:pStyle w:val="ListParagraph"/>
        <w:numPr>
          <w:ilvl w:val="0"/>
          <w:numId w:val="11"/>
        </w:numPr>
        <w:spacing w:line="276" w:lineRule="auto"/>
      </w:pPr>
      <w:r>
        <w:t xml:space="preserve">Animals and plants not involved in research are not permitted in the lab. </w:t>
      </w:r>
      <w:bookmarkStart w:id="16" w:name="_Toc47685025"/>
    </w:p>
    <w:p w14:paraId="223FF6DB" w14:textId="77777777" w:rsidR="002D4E5D" w:rsidRDefault="002D4E5D" w:rsidP="002D4E5D">
      <w:pPr>
        <w:pStyle w:val="ListParagraph"/>
      </w:pPr>
    </w:p>
    <w:p w14:paraId="0AEDFBFD" w14:textId="3BE46619" w:rsidR="0080072F" w:rsidRDefault="0080072F" w:rsidP="002D4E5D">
      <w:pPr>
        <w:pStyle w:val="Heading2"/>
      </w:pPr>
      <w:r>
        <w:t>Safety Equipment</w:t>
      </w:r>
      <w:bookmarkEnd w:id="16"/>
    </w:p>
    <w:p w14:paraId="19AF1BAB" w14:textId="7CE3A793" w:rsidR="00093842" w:rsidRPr="00093842" w:rsidRDefault="00093842" w:rsidP="00140D38">
      <w:pPr>
        <w:numPr>
          <w:ilvl w:val="0"/>
          <w:numId w:val="3"/>
        </w:numPr>
        <w:spacing w:after="0" w:line="276" w:lineRule="auto"/>
        <w:rPr>
          <w:rFonts w:cs="Arial"/>
        </w:rPr>
      </w:pPr>
      <w:r w:rsidRPr="00093842">
        <w:rPr>
          <w:rFonts w:cs="Arial"/>
        </w:rPr>
        <w:t xml:space="preserve">Properly maintained and (annually) certified Class II biological safety cabinets are to be used whenever performing procedures with the potential for creating infectious aerosols or splashes. In special circumstances where the use of a BSC is not feasible, other </w:t>
      </w:r>
      <w:r w:rsidRPr="00093842">
        <w:rPr>
          <w:rFonts w:cs="Arial"/>
        </w:rPr>
        <w:lastRenderedPageBreak/>
        <w:t>appropriate personal protective equipment and/or physical containment devices must be used</w:t>
      </w:r>
      <w:r w:rsidR="00075766">
        <w:rPr>
          <w:rFonts w:cs="Arial"/>
        </w:rPr>
        <w:t xml:space="preserve"> as</w:t>
      </w:r>
      <w:r w:rsidRPr="00093842">
        <w:rPr>
          <w:rFonts w:cs="Arial"/>
        </w:rPr>
        <w:t xml:space="preserve"> directed by the IBC and/or the safety specialist (</w:t>
      </w:r>
      <w:r w:rsidR="00075766">
        <w:rPr>
          <w:rFonts w:cs="Arial"/>
        </w:rPr>
        <w:t xml:space="preserve">these lab procedures should be included in the </w:t>
      </w:r>
      <w:r w:rsidRPr="00093842">
        <w:rPr>
          <w:rFonts w:cs="Arial"/>
        </w:rPr>
        <w:t>Standard Operating Procedures</w:t>
      </w:r>
      <w:r w:rsidR="00075766">
        <w:rPr>
          <w:rFonts w:cs="Arial"/>
        </w:rPr>
        <w:t xml:space="preserve"> and thoroughly explained in Appendix C</w:t>
      </w:r>
      <w:r w:rsidRPr="00093842">
        <w:rPr>
          <w:rFonts w:cs="Arial"/>
        </w:rPr>
        <w:t xml:space="preserve">). These procedures include centrifuging, grinding, blending, vigorous shaking or mixing, sonic disruption, opening containers of infectious materials whose internal pressures may be different from ambient pressures, inoculating animals intranasally and harvesting infected tissues from animals or embryonate eggs. </w:t>
      </w:r>
    </w:p>
    <w:p w14:paraId="1FBB6DEC" w14:textId="2265B44F" w:rsidR="002D4E5D" w:rsidRDefault="002D4E5D" w:rsidP="00140D38">
      <w:pPr>
        <w:pStyle w:val="ListParagraph"/>
        <w:numPr>
          <w:ilvl w:val="0"/>
          <w:numId w:val="3"/>
        </w:numPr>
        <w:spacing w:after="0" w:line="276" w:lineRule="auto"/>
        <w:rPr>
          <w:rFonts w:cs="Arial"/>
        </w:rPr>
      </w:pPr>
      <w:r w:rsidRPr="00093842">
        <w:rPr>
          <w:rFonts w:cs="Arial"/>
        </w:rPr>
        <w:t>Centrifugation can present a physical hazard in the event of mechanical failure. Aerosols and droplets may also be generated during this procedure. High concentrations or large volumes of infectious agents may be centrifuged in the open laboratory if sealed rotor heads or centrifuge safety cups are used</w:t>
      </w:r>
      <w:r w:rsidR="00BF1531" w:rsidRPr="00093842">
        <w:rPr>
          <w:rFonts w:cs="Arial"/>
        </w:rPr>
        <w:t>.</w:t>
      </w:r>
      <w:r w:rsidRPr="00093842">
        <w:rPr>
          <w:rFonts w:cs="Arial"/>
        </w:rPr>
        <w:t xml:space="preserve"> </w:t>
      </w:r>
      <w:r w:rsidR="00BF1531" w:rsidRPr="00093842">
        <w:rPr>
          <w:rFonts w:cs="Arial"/>
        </w:rPr>
        <w:t xml:space="preserve">Sealed </w:t>
      </w:r>
      <w:r w:rsidRPr="00093842">
        <w:rPr>
          <w:rFonts w:cs="Arial"/>
        </w:rPr>
        <w:t xml:space="preserve">rotors or safety cups are </w:t>
      </w:r>
      <w:r w:rsidR="00BF1531" w:rsidRPr="00093842">
        <w:rPr>
          <w:rFonts w:cs="Arial"/>
        </w:rPr>
        <w:t xml:space="preserve">only </w:t>
      </w:r>
      <w:r w:rsidRPr="00093842">
        <w:rPr>
          <w:rFonts w:cs="Arial"/>
        </w:rPr>
        <w:t xml:space="preserve">opened </w:t>
      </w:r>
      <w:r w:rsidR="00BF1531" w:rsidRPr="00093842">
        <w:rPr>
          <w:rFonts w:cs="Arial"/>
        </w:rPr>
        <w:t>with</w:t>
      </w:r>
      <w:r w:rsidRPr="00093842">
        <w:rPr>
          <w:rFonts w:cs="Arial"/>
        </w:rPr>
        <w:t xml:space="preserve">in a biological safety cabinet. </w:t>
      </w:r>
    </w:p>
    <w:p w14:paraId="00F223CA" w14:textId="7D5BFD3D" w:rsidR="005C0645" w:rsidRPr="00CF581A" w:rsidRDefault="00075766" w:rsidP="00140D38">
      <w:pPr>
        <w:numPr>
          <w:ilvl w:val="0"/>
          <w:numId w:val="3"/>
        </w:numPr>
        <w:spacing w:after="0" w:line="276" w:lineRule="auto"/>
        <w:rPr>
          <w:rFonts w:cs="Arial"/>
          <w:u w:val="single"/>
        </w:rPr>
      </w:pPr>
      <w:r>
        <w:rPr>
          <w:rFonts w:cs="Arial"/>
          <w:i/>
        </w:rPr>
        <w:t xml:space="preserve">List </w:t>
      </w:r>
      <w:r w:rsidR="005C0645">
        <w:rPr>
          <w:rFonts w:cs="Arial"/>
          <w:i/>
        </w:rPr>
        <w:t>Other e</w:t>
      </w:r>
      <w:r w:rsidR="005C0645" w:rsidRPr="00F32A5A">
        <w:rPr>
          <w:rFonts w:cs="Arial"/>
          <w:i/>
        </w:rPr>
        <w:t>quipment</w:t>
      </w:r>
      <w:r w:rsidR="005C0645">
        <w:rPr>
          <w:rFonts w:cs="Arial"/>
          <w:i/>
        </w:rPr>
        <w:t xml:space="preserve"> used to manipulate biological agents</w:t>
      </w:r>
      <w:r w:rsidR="005C0645" w:rsidRPr="00F32A5A">
        <w:rPr>
          <w:rFonts w:cs="Arial"/>
          <w:i/>
        </w:rPr>
        <w:t xml:space="preserve"> in this lab (closed system </w:t>
      </w:r>
      <w:proofErr w:type="spellStart"/>
      <w:r w:rsidR="005C0645" w:rsidRPr="00F32A5A">
        <w:rPr>
          <w:rFonts w:cs="Arial"/>
          <w:i/>
        </w:rPr>
        <w:t>sonicators</w:t>
      </w:r>
      <w:proofErr w:type="spellEnd"/>
      <w:r w:rsidR="005C0645" w:rsidRPr="00F32A5A">
        <w:rPr>
          <w:rFonts w:cs="Arial"/>
          <w:i/>
        </w:rPr>
        <w:t>, class I</w:t>
      </w:r>
      <w:r w:rsidR="005C0645">
        <w:rPr>
          <w:rFonts w:cs="Arial"/>
          <w:i/>
        </w:rPr>
        <w:t>I</w:t>
      </w:r>
      <w:r w:rsidR="005C0645" w:rsidRPr="00F32A5A">
        <w:rPr>
          <w:rFonts w:cs="Arial"/>
          <w:i/>
        </w:rPr>
        <w:t xml:space="preserve"> BSC</w:t>
      </w:r>
      <w:r>
        <w:rPr>
          <w:rFonts w:cs="Arial"/>
          <w:i/>
        </w:rPr>
        <w:t>s</w:t>
      </w:r>
      <w:r w:rsidR="005C0645">
        <w:rPr>
          <w:rFonts w:cs="Arial"/>
          <w:i/>
        </w:rPr>
        <w:t>, flow cytometers,</w:t>
      </w:r>
      <w:r w:rsidR="005C0645" w:rsidRPr="00F32A5A">
        <w:rPr>
          <w:rFonts w:cs="Arial"/>
          <w:i/>
        </w:rPr>
        <w:t xml:space="preserve"> etc.)</w:t>
      </w:r>
      <w:r w:rsidR="005C0645">
        <w:rPr>
          <w:rFonts w:cs="Arial"/>
        </w:rPr>
        <w:t>:</w:t>
      </w:r>
      <w:r w:rsidR="005C0645" w:rsidRPr="00F32A5A">
        <w:rPr>
          <w:rFonts w:cs="Arial"/>
        </w:rPr>
        <w:t xml:space="preserve"> </w:t>
      </w:r>
    </w:p>
    <w:tbl>
      <w:tblPr>
        <w:tblStyle w:val="PlainTable4"/>
        <w:tblW w:w="0" w:type="auto"/>
        <w:tblInd w:w="630" w:type="dxa"/>
        <w:tblLook w:val="04A0" w:firstRow="1" w:lastRow="0" w:firstColumn="1" w:lastColumn="0" w:noHBand="0" w:noVBand="1"/>
      </w:tblPr>
      <w:tblGrid>
        <w:gridCol w:w="8720"/>
      </w:tblGrid>
      <w:tr w:rsidR="009B2D79" w14:paraId="563E6F08" w14:textId="77777777" w:rsidTr="00820DEA">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8720" w:type="dxa"/>
            <w:shd w:val="clear" w:color="auto" w:fill="E7E6E6" w:themeFill="background2"/>
          </w:tcPr>
          <w:p w14:paraId="146A8A0A" w14:textId="77777777" w:rsidR="009B2D79" w:rsidRDefault="009B2D79" w:rsidP="00820DEA">
            <w:pPr>
              <w:pStyle w:val="ListParagraph"/>
              <w:ind w:left="0"/>
              <w:jc w:val="both"/>
              <w:rPr>
                <w:rFonts w:cs="Arial"/>
                <w:u w:val="single"/>
              </w:rPr>
            </w:pPr>
          </w:p>
        </w:tc>
      </w:tr>
    </w:tbl>
    <w:p w14:paraId="32C2F226" w14:textId="77777777" w:rsidR="007C5AA9" w:rsidRDefault="007C5AA9" w:rsidP="007C5AA9">
      <w:pPr>
        <w:pStyle w:val="ListParagraph"/>
      </w:pPr>
    </w:p>
    <w:p w14:paraId="3F30778F" w14:textId="6533D542" w:rsidR="0080072F" w:rsidRDefault="0080072F" w:rsidP="0080072F">
      <w:pPr>
        <w:pStyle w:val="Heading2"/>
      </w:pPr>
      <w:bookmarkStart w:id="17" w:name="_Toc47685026"/>
      <w:r>
        <w:t>Personal Protective Equipment</w:t>
      </w:r>
      <w:r w:rsidR="00680CCE">
        <w:t xml:space="preserve"> (PPE)</w:t>
      </w:r>
      <w:bookmarkEnd w:id="17"/>
    </w:p>
    <w:p w14:paraId="1F04C01D" w14:textId="77777777" w:rsidR="001020FD" w:rsidRPr="001020FD" w:rsidRDefault="001020FD" w:rsidP="001020FD"/>
    <w:p w14:paraId="638B840B" w14:textId="1EB77475" w:rsidR="00093842" w:rsidRPr="00093842" w:rsidRDefault="00093842" w:rsidP="00140D38">
      <w:pPr>
        <w:numPr>
          <w:ilvl w:val="0"/>
          <w:numId w:val="12"/>
        </w:numPr>
        <w:spacing w:after="0" w:line="276" w:lineRule="auto"/>
        <w:rPr>
          <w:rFonts w:cs="Arial"/>
        </w:rPr>
      </w:pPr>
      <w:r w:rsidRPr="00093842">
        <w:rPr>
          <w:rFonts w:cs="Arial"/>
        </w:rPr>
        <w:t xml:space="preserve">Laboratory coats or gowns must be in the laboratory. Lab coats must be removed before leaving for non-laboratory areas (e.g., cafeteria, library, administrative offices). All protective clothing is either disposed of in the laboratory or laundered by an approved outside vendor. Lab coats are never taken home or laundered by laboratory personnel. </w:t>
      </w:r>
    </w:p>
    <w:p w14:paraId="7A559074" w14:textId="0EFFC007" w:rsidR="00093842" w:rsidRPr="00093842" w:rsidRDefault="00093842" w:rsidP="00140D38">
      <w:pPr>
        <w:numPr>
          <w:ilvl w:val="0"/>
          <w:numId w:val="12"/>
        </w:numPr>
        <w:spacing w:after="0" w:line="276" w:lineRule="auto"/>
        <w:rPr>
          <w:rFonts w:cs="Arial"/>
        </w:rPr>
      </w:pPr>
      <w:r w:rsidRPr="00093842">
        <w:rPr>
          <w:rFonts w:cs="Arial"/>
        </w:rPr>
        <w:t>Gloves must be worn when handling potentially infectious materials, contaminated surfaces</w:t>
      </w:r>
      <w:r w:rsidR="009B2D79">
        <w:rPr>
          <w:rFonts w:cs="Arial"/>
        </w:rPr>
        <w:t>,</w:t>
      </w:r>
      <w:r w:rsidRPr="00093842">
        <w:rPr>
          <w:rFonts w:cs="Arial"/>
        </w:rPr>
        <w:t xml:space="preserve"> or equipment. Gloves are disposed of when overtly contaminated and removed when work with infectious materials is completed or when the integrity of the glove is compromised. Disposable gloves are not washed, reused, or used for touching "clean" surfaces (keyboards, telephones, etc.), and they should not be worn outside the lab. Select gloves appropriate for the task (e.g., </w:t>
      </w:r>
      <w:proofErr w:type="gramStart"/>
      <w:r w:rsidRPr="00093842">
        <w:rPr>
          <w:rFonts w:cs="Arial"/>
        </w:rPr>
        <w:t>particular hazard</w:t>
      </w:r>
      <w:proofErr w:type="gramEnd"/>
      <w:r w:rsidRPr="00093842">
        <w:rPr>
          <w:rFonts w:cs="Arial"/>
        </w:rPr>
        <w:t xml:space="preserve"> encountered, contact with chemicals</w:t>
      </w:r>
      <w:r w:rsidR="009B2D79">
        <w:rPr>
          <w:rFonts w:cs="Arial"/>
        </w:rPr>
        <w:t>, etc.</w:t>
      </w:r>
      <w:r w:rsidRPr="00093842">
        <w:rPr>
          <w:rFonts w:cs="Arial"/>
        </w:rPr>
        <w:t>). Personnel must wash their hands following the removal of gloves.</w:t>
      </w:r>
    </w:p>
    <w:p w14:paraId="59DF489D" w14:textId="0F5B524E" w:rsidR="00CA7447" w:rsidRPr="00093842" w:rsidRDefault="00093842" w:rsidP="00140D38">
      <w:pPr>
        <w:numPr>
          <w:ilvl w:val="0"/>
          <w:numId w:val="12"/>
        </w:numPr>
        <w:spacing w:after="0" w:line="276" w:lineRule="auto"/>
        <w:rPr>
          <w:rFonts w:cs="Arial"/>
        </w:rPr>
      </w:pPr>
      <w:bookmarkStart w:id="18" w:name="_Hlk532377447"/>
      <w:r w:rsidRPr="00093842">
        <w:rPr>
          <w:rFonts w:cs="Arial"/>
        </w:rPr>
        <w:t xml:space="preserve">Respirators are generally not required when working with biological agents in BSL-2 laboratories. Respirators should only be used if mandated by the IBC for your research protocol and after consultation with DOHS. Cell sorting of agents classified as BSL2 with 3 practices may require respiratory protection (lentivirus, etc.). Please consult the </w:t>
      </w:r>
      <w:hyperlink r:id="rId16" w:history="1">
        <w:r w:rsidRPr="00093842">
          <w:rPr>
            <w:rStyle w:val="Hyperlink"/>
            <w:rFonts w:cs="Arial"/>
          </w:rPr>
          <w:t>NIH Policy for Biosafety of Cell Sorters</w:t>
        </w:r>
      </w:hyperlink>
      <w:r w:rsidRPr="00093842">
        <w:rPr>
          <w:rFonts w:cs="Arial"/>
        </w:rPr>
        <w:t xml:space="preserve"> for further guidance.  Respiratory fit testing, training, and annual medical surveillance are required. </w:t>
      </w:r>
      <w:bookmarkEnd w:id="18"/>
    </w:p>
    <w:p w14:paraId="01AC020E" w14:textId="77777777" w:rsidR="00054F9C" w:rsidRDefault="00054F9C" w:rsidP="00140D38">
      <w:pPr>
        <w:pStyle w:val="Default"/>
        <w:spacing w:line="276" w:lineRule="auto"/>
        <w:rPr>
          <w:color w:val="auto"/>
          <w:sz w:val="23"/>
          <w:szCs w:val="23"/>
        </w:rPr>
      </w:pPr>
    </w:p>
    <w:p w14:paraId="337D3E8B" w14:textId="1E09F99E" w:rsidR="00140D38" w:rsidRDefault="00140D38" w:rsidP="00771FCA">
      <w:pPr>
        <w:pStyle w:val="Heading2"/>
      </w:pPr>
    </w:p>
    <w:p w14:paraId="7FB9E4EE" w14:textId="77777777" w:rsidR="00C6675D" w:rsidRPr="00C6675D" w:rsidRDefault="00C6675D" w:rsidP="00C6675D"/>
    <w:p w14:paraId="3ED78417" w14:textId="416C1445" w:rsidR="00BF1531" w:rsidRDefault="00771FCA" w:rsidP="00771FCA">
      <w:pPr>
        <w:pStyle w:val="Heading2"/>
      </w:pPr>
      <w:r>
        <w:t xml:space="preserve">Laboratory Standard Operating Procedures (SOPs) </w:t>
      </w:r>
    </w:p>
    <w:p w14:paraId="609FB7D4" w14:textId="6DDF4F9F" w:rsidR="00143401" w:rsidRPr="00361758" w:rsidRDefault="00143401" w:rsidP="00771FCA">
      <w:r w:rsidRPr="00361758">
        <w:t>List all laboratory SOP’s.</w:t>
      </w:r>
    </w:p>
    <w:p w14:paraId="4FA8F176" w14:textId="77777777" w:rsidR="00143401" w:rsidRPr="00361758" w:rsidRDefault="00143401" w:rsidP="00771FCA"/>
    <w:p w14:paraId="6CF33841" w14:textId="5617913A" w:rsidR="00771FCA" w:rsidRPr="00361758" w:rsidRDefault="00143401" w:rsidP="00771FCA">
      <w:r w:rsidRPr="00361758">
        <w:lastRenderedPageBreak/>
        <w:t xml:space="preserve">SOP details should be included in </w:t>
      </w:r>
      <w:r w:rsidR="00771FCA" w:rsidRPr="00361758">
        <w:t>Appendix C</w:t>
      </w:r>
      <w:r w:rsidRPr="00361758">
        <w:t xml:space="preserve">. If applicable, include the following components: </w:t>
      </w:r>
    </w:p>
    <w:p w14:paraId="35F9454A" w14:textId="77777777" w:rsidR="00143401" w:rsidRPr="00B32C13" w:rsidRDefault="00143401" w:rsidP="00722064">
      <w:pPr>
        <w:numPr>
          <w:ilvl w:val="0"/>
          <w:numId w:val="19"/>
        </w:numPr>
        <w:tabs>
          <w:tab w:val="left" w:pos="1440"/>
          <w:tab w:val="left" w:pos="1800"/>
        </w:tabs>
        <w:spacing w:after="0" w:line="240" w:lineRule="auto"/>
        <w:rPr>
          <w:rFonts w:cs="Arial"/>
          <w:i/>
        </w:rPr>
      </w:pPr>
      <w:r w:rsidRPr="00B32C13">
        <w:rPr>
          <w:rFonts w:cs="Arial"/>
          <w:i/>
        </w:rPr>
        <w:t xml:space="preserve">Describe the laboratory procedures using </w:t>
      </w:r>
      <w:r>
        <w:rPr>
          <w:rFonts w:cs="Arial"/>
          <w:i/>
        </w:rPr>
        <w:t>biological</w:t>
      </w:r>
      <w:r w:rsidRPr="00B32C13">
        <w:rPr>
          <w:rFonts w:cs="Arial"/>
          <w:i/>
        </w:rPr>
        <w:t xml:space="preserve"> agents that will be performed in the BSC and the PPE used.</w:t>
      </w:r>
    </w:p>
    <w:p w14:paraId="36E40A44" w14:textId="77777777" w:rsidR="00143401" w:rsidRPr="00B32C13" w:rsidRDefault="00143401" w:rsidP="00722064">
      <w:pPr>
        <w:numPr>
          <w:ilvl w:val="0"/>
          <w:numId w:val="19"/>
        </w:numPr>
        <w:tabs>
          <w:tab w:val="left" w:pos="1440"/>
          <w:tab w:val="left" w:pos="1800"/>
        </w:tabs>
        <w:spacing w:after="0" w:line="240" w:lineRule="auto"/>
        <w:rPr>
          <w:rFonts w:cs="Arial"/>
          <w:i/>
        </w:rPr>
      </w:pPr>
      <w:r w:rsidRPr="00B32C13">
        <w:rPr>
          <w:rFonts w:cs="Arial"/>
          <w:i/>
        </w:rPr>
        <w:t xml:space="preserve">Describe the laboratory procedures using </w:t>
      </w:r>
      <w:r>
        <w:rPr>
          <w:rFonts w:cs="Arial"/>
          <w:i/>
        </w:rPr>
        <w:t>biological</w:t>
      </w:r>
      <w:r w:rsidRPr="00B32C13">
        <w:rPr>
          <w:rFonts w:cs="Arial"/>
          <w:i/>
        </w:rPr>
        <w:t xml:space="preserve"> agents that will be performed on the open bench and the PPE used.</w:t>
      </w:r>
    </w:p>
    <w:p w14:paraId="656A9922" w14:textId="77777777" w:rsidR="00143401" w:rsidRDefault="00143401" w:rsidP="00722064">
      <w:pPr>
        <w:numPr>
          <w:ilvl w:val="0"/>
          <w:numId w:val="19"/>
        </w:numPr>
        <w:tabs>
          <w:tab w:val="left" w:pos="1440"/>
          <w:tab w:val="left" w:pos="1800"/>
        </w:tabs>
        <w:spacing w:after="0" w:line="240" w:lineRule="auto"/>
        <w:rPr>
          <w:rFonts w:cs="Arial"/>
        </w:rPr>
      </w:pPr>
      <w:r w:rsidRPr="00CF581A">
        <w:rPr>
          <w:rFonts w:cs="Arial"/>
          <w:i/>
        </w:rPr>
        <w:t>List the disinfectant used for routine decontamination</w:t>
      </w:r>
      <w:r>
        <w:rPr>
          <w:rFonts w:cs="Arial"/>
          <w:i/>
        </w:rPr>
        <w:t>, including its concentration and minimal contact time</w:t>
      </w:r>
      <w:r>
        <w:rPr>
          <w:rFonts w:cs="Arial"/>
        </w:rPr>
        <w:t>.</w:t>
      </w:r>
    </w:p>
    <w:p w14:paraId="37A0FC3B" w14:textId="77777777" w:rsidR="00143401" w:rsidRPr="00461266" w:rsidRDefault="00143401" w:rsidP="00771FCA">
      <w:pPr>
        <w:rPr>
          <w:highlight w:val="yellow"/>
        </w:rPr>
      </w:pPr>
    </w:p>
    <w:p w14:paraId="590CFDD9" w14:textId="77777777" w:rsidR="00C6675D" w:rsidRDefault="00C6675D" w:rsidP="009646AA">
      <w:pPr>
        <w:pStyle w:val="Heading1"/>
      </w:pPr>
      <w:bookmarkStart w:id="19" w:name="_Toc47685027"/>
    </w:p>
    <w:p w14:paraId="12846953" w14:textId="560CE5C0" w:rsidR="0080072F" w:rsidRDefault="0080072F" w:rsidP="009646AA">
      <w:pPr>
        <w:pStyle w:val="Heading1"/>
      </w:pPr>
      <w:r>
        <w:t>Biohazard Spill Clean-Up Procedures</w:t>
      </w:r>
      <w:bookmarkEnd w:id="19"/>
    </w:p>
    <w:p w14:paraId="6BEEA9F0" w14:textId="77777777" w:rsidR="001020FD" w:rsidRPr="00AB0C29" w:rsidRDefault="001020FD" w:rsidP="009646AA">
      <w:pPr>
        <w:rPr>
          <w:b/>
          <w:bCs/>
        </w:rPr>
      </w:pPr>
    </w:p>
    <w:p w14:paraId="15191CA6" w14:textId="3F3ADA40" w:rsidR="009B2D79" w:rsidRPr="00AB0C29" w:rsidRDefault="00AB0C29" w:rsidP="009B2D79">
      <w:pPr>
        <w:tabs>
          <w:tab w:val="left" w:pos="720"/>
        </w:tabs>
        <w:rPr>
          <w:rFonts w:cs="Arial"/>
        </w:rPr>
      </w:pPr>
      <w:r w:rsidRPr="00AB0C29">
        <w:rPr>
          <w:rFonts w:cs="Arial"/>
          <w:b/>
        </w:rPr>
        <w:t>All major spills must be reported to the Principal Investigator</w:t>
      </w:r>
      <w:r w:rsidR="009B2D79">
        <w:rPr>
          <w:rFonts w:cs="Arial"/>
          <w:b/>
        </w:rPr>
        <w:t>.</w:t>
      </w:r>
      <w:r w:rsidRPr="00AB0C29">
        <w:rPr>
          <w:rFonts w:cs="Arial"/>
          <w:b/>
        </w:rPr>
        <w:t xml:space="preserve">  </w:t>
      </w:r>
      <w:r w:rsidRPr="00AB0C29">
        <w:rPr>
          <w:rFonts w:cs="Arial"/>
        </w:rPr>
        <w:t>A major spill is one in which the extent of the spill is undetermined, or the spill involves an aerosol outside of the biosafety cabinet or outside the laboratory.</w:t>
      </w:r>
      <w:r w:rsidRPr="00AB0C29">
        <w:rPr>
          <w:rFonts w:cs="Arial"/>
          <w:b/>
        </w:rPr>
        <w:t xml:space="preserve"> </w:t>
      </w:r>
      <w:r w:rsidRPr="00AB0C29">
        <w:rPr>
          <w:rFonts w:cs="Arial"/>
        </w:rPr>
        <w:t>All spills must be described in Appendix D. Incidents/Comments Log</w:t>
      </w:r>
      <w:r w:rsidRPr="00AB0C29">
        <w:rPr>
          <w:rFonts w:cs="Arial"/>
          <w:b/>
        </w:rPr>
        <w:t xml:space="preserve">.  </w:t>
      </w:r>
      <w:r w:rsidRPr="00AB0C29">
        <w:rPr>
          <w:rFonts w:cs="Arial"/>
        </w:rPr>
        <w:t xml:space="preserve">The description must include: 1) the type of spill, including a detailed description of the genetic or recombinant nature of the agent, as </w:t>
      </w:r>
      <w:r w:rsidR="00143401" w:rsidRPr="00AB0C29">
        <w:rPr>
          <w:rFonts w:cs="Arial"/>
        </w:rPr>
        <w:t>applicable</w:t>
      </w:r>
      <w:r w:rsidR="009B2D79">
        <w:rPr>
          <w:rFonts w:cs="Arial"/>
        </w:rPr>
        <w:t>, containment equipment involved, personnel involved, if OMS was involved/contacted</w:t>
      </w:r>
      <w:r w:rsidR="009B2D79" w:rsidRPr="00AB0C29">
        <w:rPr>
          <w:rFonts w:cs="Arial"/>
        </w:rPr>
        <w:t xml:space="preserve">; 2) the </w:t>
      </w:r>
      <w:r w:rsidR="009B2D79">
        <w:rPr>
          <w:rFonts w:cs="Arial"/>
        </w:rPr>
        <w:t xml:space="preserve">location, </w:t>
      </w:r>
      <w:r w:rsidR="009B2D79" w:rsidRPr="00AB0C29">
        <w:rPr>
          <w:rFonts w:cs="Arial"/>
        </w:rPr>
        <w:t>time and date of the spill; 3) the time, date, and method of clean up, including the disinfectant used and 4) the time and date you autoclaved the cleanup waste, if applicable.</w:t>
      </w:r>
    </w:p>
    <w:p w14:paraId="333A2F32" w14:textId="7F6CD535" w:rsidR="009646AA" w:rsidRPr="009646AA" w:rsidRDefault="009646AA" w:rsidP="009B2D79">
      <w:pPr>
        <w:tabs>
          <w:tab w:val="left" w:pos="720"/>
        </w:tabs>
        <w:rPr>
          <w:rFonts w:eastAsia="Times" w:cs="Arial"/>
          <w:b/>
          <w:bCs/>
        </w:rPr>
      </w:pPr>
    </w:p>
    <w:p w14:paraId="5A316C20" w14:textId="4AA5BC82" w:rsidR="009646AA" w:rsidRDefault="009646AA" w:rsidP="009646AA">
      <w:pPr>
        <w:pStyle w:val="Heading2"/>
        <w:rPr>
          <w:rFonts w:eastAsia="Times"/>
        </w:rPr>
      </w:pPr>
      <w:r w:rsidRPr="009646AA">
        <w:rPr>
          <w:rFonts w:eastAsia="Times"/>
        </w:rPr>
        <w:t xml:space="preserve">A. Spills outside of a containment device: </w:t>
      </w:r>
    </w:p>
    <w:p w14:paraId="533D9D2B" w14:textId="77777777" w:rsidR="002D43D1" w:rsidRPr="002D43D1" w:rsidRDefault="002D43D1" w:rsidP="002D43D1"/>
    <w:p w14:paraId="6F9427A3" w14:textId="35E441D3" w:rsidR="00AB0C29" w:rsidRPr="004C314A" w:rsidRDefault="00AB0C29" w:rsidP="00722064">
      <w:pPr>
        <w:numPr>
          <w:ilvl w:val="0"/>
          <w:numId w:val="13"/>
        </w:numPr>
        <w:spacing w:after="0" w:line="240" w:lineRule="auto"/>
        <w:rPr>
          <w:rFonts w:cs="Arial"/>
        </w:rPr>
      </w:pPr>
      <w:r>
        <w:rPr>
          <w:rFonts w:cs="Arial"/>
        </w:rPr>
        <w:t>In the event of a potential exposure, r</w:t>
      </w:r>
      <w:r w:rsidRPr="004C314A">
        <w:rPr>
          <w:rFonts w:cs="Arial"/>
        </w:rPr>
        <w:t>emove contaminated clothing and wash exposed skin</w:t>
      </w:r>
      <w:r>
        <w:rPr>
          <w:rFonts w:cs="Arial"/>
        </w:rPr>
        <w:t xml:space="preserve"> for 15 minutes</w:t>
      </w:r>
      <w:r w:rsidR="009B2D79">
        <w:rPr>
          <w:rFonts w:cs="Arial"/>
        </w:rPr>
        <w:t xml:space="preserve"> with soap and water</w:t>
      </w:r>
      <w:r w:rsidRPr="004C314A">
        <w:rPr>
          <w:rFonts w:cs="Arial"/>
        </w:rPr>
        <w:t>.</w:t>
      </w:r>
      <w:r>
        <w:rPr>
          <w:rFonts w:cs="Arial"/>
        </w:rPr>
        <w:t xml:space="preserve"> Report the incident to your supervisor and go directly to OMS, located in Bldg. 10, 6</w:t>
      </w:r>
      <w:r w:rsidRPr="00DF7116">
        <w:rPr>
          <w:rFonts w:cs="Arial"/>
          <w:vertAlign w:val="superscript"/>
        </w:rPr>
        <w:t>th</w:t>
      </w:r>
      <w:r>
        <w:rPr>
          <w:rFonts w:cs="Arial"/>
        </w:rPr>
        <w:t xml:space="preserve"> floor, C corridor. Also, report</w:t>
      </w:r>
      <w:r w:rsidR="6C26CA59" w:rsidRPr="54DE377F">
        <w:rPr>
          <w:rFonts w:cs="Arial"/>
        </w:rPr>
        <w:t xml:space="preserve"> the</w:t>
      </w:r>
      <w:r>
        <w:rPr>
          <w:rFonts w:cs="Arial"/>
        </w:rPr>
        <w:t xml:space="preserve"> spill to another lab member who shall proceed with Step 2.</w:t>
      </w:r>
    </w:p>
    <w:p w14:paraId="21C19CEA" w14:textId="028DB701" w:rsidR="00AB0C29" w:rsidRPr="004C314A" w:rsidRDefault="00AB0C29" w:rsidP="00722064">
      <w:pPr>
        <w:numPr>
          <w:ilvl w:val="0"/>
          <w:numId w:val="13"/>
        </w:numPr>
        <w:spacing w:after="0" w:line="240" w:lineRule="auto"/>
        <w:rPr>
          <w:rFonts w:cs="Arial"/>
        </w:rPr>
      </w:pPr>
      <w:r w:rsidRPr="004C314A">
        <w:rPr>
          <w:rFonts w:cs="Arial"/>
        </w:rPr>
        <w:t xml:space="preserve">Close off </w:t>
      </w:r>
      <w:r>
        <w:rPr>
          <w:rFonts w:cs="Arial"/>
        </w:rPr>
        <w:t>contaminated</w:t>
      </w:r>
      <w:r w:rsidRPr="004C314A">
        <w:rPr>
          <w:rFonts w:cs="Arial"/>
        </w:rPr>
        <w:t xml:space="preserve"> area to traffic and notify </w:t>
      </w:r>
      <w:r>
        <w:rPr>
          <w:rFonts w:cs="Arial"/>
        </w:rPr>
        <w:t xml:space="preserve">all other </w:t>
      </w:r>
      <w:r w:rsidRPr="004C314A">
        <w:rPr>
          <w:rFonts w:cs="Arial"/>
        </w:rPr>
        <w:t>coworkers.</w:t>
      </w:r>
      <w:r>
        <w:rPr>
          <w:rFonts w:cs="Arial"/>
        </w:rPr>
        <w:t xml:space="preserve"> </w:t>
      </w:r>
      <w:r w:rsidRPr="00DF7116">
        <w:rPr>
          <w:rFonts w:cs="Arial"/>
          <w:i/>
        </w:rPr>
        <w:t>Note: If the spill occurs in a common area (e.g., corridor), dial 911 for assistance and specific instructions.</w:t>
      </w:r>
      <w:r>
        <w:rPr>
          <w:rFonts w:cs="Arial"/>
        </w:rPr>
        <w:t xml:space="preserve"> </w:t>
      </w:r>
    </w:p>
    <w:p w14:paraId="1BAD8ADC" w14:textId="110D3931" w:rsidR="00AB0C29" w:rsidRPr="004C314A" w:rsidRDefault="00AB0C29" w:rsidP="00722064">
      <w:pPr>
        <w:numPr>
          <w:ilvl w:val="0"/>
          <w:numId w:val="13"/>
        </w:numPr>
        <w:spacing w:after="0" w:line="240" w:lineRule="auto"/>
        <w:rPr>
          <w:rFonts w:cs="Arial"/>
        </w:rPr>
      </w:pPr>
      <w:r w:rsidRPr="004C314A">
        <w:rPr>
          <w:rFonts w:cs="Arial"/>
        </w:rPr>
        <w:t xml:space="preserve">If the spill </w:t>
      </w:r>
      <w:r w:rsidRPr="7DC87FCC">
        <w:rPr>
          <w:rFonts w:cs="Arial"/>
        </w:rPr>
        <w:t>involve</w:t>
      </w:r>
      <w:r w:rsidR="26611F83" w:rsidRPr="7DC87FCC">
        <w:rPr>
          <w:rFonts w:cs="Arial"/>
        </w:rPr>
        <w:t>s</w:t>
      </w:r>
      <w:r w:rsidRPr="004C314A">
        <w:rPr>
          <w:rFonts w:cs="Arial"/>
        </w:rPr>
        <w:t xml:space="preserve"> an aerosol, </w:t>
      </w:r>
      <w:r>
        <w:rPr>
          <w:rFonts w:cs="Arial"/>
        </w:rPr>
        <w:t xml:space="preserve">all persons must </w:t>
      </w:r>
      <w:r w:rsidRPr="004C314A">
        <w:rPr>
          <w:rFonts w:cs="Arial"/>
        </w:rPr>
        <w:t xml:space="preserve">leave the </w:t>
      </w:r>
      <w:r>
        <w:rPr>
          <w:rFonts w:cs="Arial"/>
        </w:rPr>
        <w:t xml:space="preserve">laboratory </w:t>
      </w:r>
      <w:r w:rsidRPr="003A7040">
        <w:rPr>
          <w:rFonts w:cs="Arial"/>
        </w:rPr>
        <w:t>for 30 minutes</w:t>
      </w:r>
      <w:r w:rsidRPr="004C314A">
        <w:rPr>
          <w:rFonts w:cs="Arial"/>
        </w:rPr>
        <w:t xml:space="preserve"> to allow </w:t>
      </w:r>
      <w:r>
        <w:rPr>
          <w:rFonts w:cs="Arial"/>
        </w:rPr>
        <w:t xml:space="preserve">the </w:t>
      </w:r>
      <w:r w:rsidRPr="004C314A">
        <w:rPr>
          <w:rFonts w:cs="Arial"/>
        </w:rPr>
        <w:t>aerosol to settle.</w:t>
      </w:r>
    </w:p>
    <w:p w14:paraId="6BB4E932" w14:textId="77777777" w:rsidR="00AB0C29" w:rsidRPr="004C314A" w:rsidRDefault="00AB0C29" w:rsidP="00722064">
      <w:pPr>
        <w:numPr>
          <w:ilvl w:val="0"/>
          <w:numId w:val="13"/>
        </w:numPr>
        <w:spacing w:after="0" w:line="240" w:lineRule="auto"/>
        <w:rPr>
          <w:rFonts w:cs="Arial"/>
        </w:rPr>
      </w:pPr>
      <w:r>
        <w:rPr>
          <w:rFonts w:cs="Arial"/>
        </w:rPr>
        <w:t>Don</w:t>
      </w:r>
      <w:r w:rsidRPr="004C314A">
        <w:rPr>
          <w:rFonts w:cs="Arial"/>
        </w:rPr>
        <w:t xml:space="preserve"> gloves</w:t>
      </w:r>
      <w:r>
        <w:rPr>
          <w:rFonts w:cs="Arial"/>
        </w:rPr>
        <w:t xml:space="preserve">, </w:t>
      </w:r>
      <w:r w:rsidRPr="004C314A">
        <w:rPr>
          <w:rFonts w:cs="Arial"/>
        </w:rPr>
        <w:t>lab coat</w:t>
      </w:r>
      <w:r>
        <w:rPr>
          <w:rFonts w:cs="Arial"/>
        </w:rPr>
        <w:t xml:space="preserve"> and eye protection</w:t>
      </w:r>
      <w:r w:rsidRPr="004C314A">
        <w:rPr>
          <w:rFonts w:cs="Arial"/>
        </w:rPr>
        <w:t>.</w:t>
      </w:r>
    </w:p>
    <w:p w14:paraId="166303C0" w14:textId="77777777" w:rsidR="00AB0C29" w:rsidRDefault="00AB0C29" w:rsidP="00722064">
      <w:pPr>
        <w:numPr>
          <w:ilvl w:val="0"/>
          <w:numId w:val="13"/>
        </w:numPr>
        <w:spacing w:after="0" w:line="240" w:lineRule="auto"/>
        <w:rPr>
          <w:rFonts w:cs="Arial"/>
        </w:rPr>
      </w:pPr>
      <w:r w:rsidRPr="004C314A">
        <w:rPr>
          <w:rFonts w:cs="Arial"/>
        </w:rPr>
        <w:t>Co</w:t>
      </w:r>
      <w:r>
        <w:rPr>
          <w:rFonts w:cs="Arial"/>
        </w:rPr>
        <w:t xml:space="preserve">ver </w:t>
      </w:r>
      <w:r w:rsidRPr="004C314A">
        <w:rPr>
          <w:rFonts w:cs="Arial"/>
        </w:rPr>
        <w:t>the spill with paper towels.</w:t>
      </w:r>
    </w:p>
    <w:p w14:paraId="6F939578" w14:textId="77777777" w:rsidR="00AB0C29" w:rsidRPr="00FA0685" w:rsidRDefault="00AB0C29" w:rsidP="00722064">
      <w:pPr>
        <w:numPr>
          <w:ilvl w:val="0"/>
          <w:numId w:val="13"/>
        </w:numPr>
        <w:spacing w:after="0" w:line="240" w:lineRule="auto"/>
        <w:rPr>
          <w:rFonts w:cs="Arial"/>
        </w:rPr>
      </w:pPr>
      <w:r w:rsidRPr="004C314A">
        <w:rPr>
          <w:rFonts w:cs="Arial"/>
        </w:rPr>
        <w:t>Flood the spill area with a freshly prepared 1:10 dilution of chlorine bleach</w:t>
      </w:r>
      <w:r>
        <w:rPr>
          <w:rFonts w:cs="Arial"/>
        </w:rPr>
        <w:t>, or other appropriate disinfectant specific to the biological agent</w:t>
      </w:r>
      <w:r w:rsidRPr="004C314A">
        <w:rPr>
          <w:rFonts w:cs="Arial"/>
        </w:rPr>
        <w:t xml:space="preserve">. </w:t>
      </w:r>
      <w:r>
        <w:rPr>
          <w:rFonts w:cs="Arial"/>
        </w:rPr>
        <w:t>Contact time must be no less than 2</w:t>
      </w:r>
      <w:r w:rsidRPr="00FA0685">
        <w:rPr>
          <w:rFonts w:cs="Arial"/>
        </w:rPr>
        <w:t>0 minute</w:t>
      </w:r>
      <w:r>
        <w:rPr>
          <w:rFonts w:cs="Arial"/>
        </w:rPr>
        <w:t>s</w:t>
      </w:r>
      <w:r w:rsidRPr="00FA0685">
        <w:rPr>
          <w:rFonts w:cs="Arial"/>
        </w:rPr>
        <w:t xml:space="preserve"> </w:t>
      </w:r>
      <w:r>
        <w:rPr>
          <w:rFonts w:cs="Arial"/>
        </w:rPr>
        <w:t>or as specified by the manufacturer</w:t>
      </w:r>
      <w:r w:rsidRPr="00FA0685">
        <w:rPr>
          <w:rFonts w:cs="Arial"/>
        </w:rPr>
        <w:t>.</w:t>
      </w:r>
    </w:p>
    <w:p w14:paraId="0BDA09B1" w14:textId="77777777" w:rsidR="00AB0C29" w:rsidRPr="004C314A" w:rsidRDefault="00AB0C29" w:rsidP="00722064">
      <w:pPr>
        <w:numPr>
          <w:ilvl w:val="0"/>
          <w:numId w:val="13"/>
        </w:numPr>
        <w:spacing w:after="0" w:line="240" w:lineRule="auto"/>
        <w:rPr>
          <w:rFonts w:cs="Arial"/>
        </w:rPr>
      </w:pPr>
      <w:r w:rsidRPr="004C314A">
        <w:rPr>
          <w:rFonts w:cs="Arial"/>
        </w:rPr>
        <w:t xml:space="preserve">Push the </w:t>
      </w:r>
      <w:r>
        <w:rPr>
          <w:rFonts w:cs="Arial"/>
        </w:rPr>
        <w:t xml:space="preserve">edges of the </w:t>
      </w:r>
      <w:r w:rsidRPr="004C314A">
        <w:rPr>
          <w:rFonts w:cs="Arial"/>
        </w:rPr>
        <w:t xml:space="preserve">towels into the spill's center. Add more paper towels as needed. </w:t>
      </w:r>
    </w:p>
    <w:p w14:paraId="46B290C2" w14:textId="77777777" w:rsidR="00AB0C29" w:rsidRDefault="00AB0C29" w:rsidP="00722064">
      <w:pPr>
        <w:numPr>
          <w:ilvl w:val="0"/>
          <w:numId w:val="13"/>
        </w:numPr>
        <w:spacing w:after="0" w:line="240" w:lineRule="auto"/>
        <w:rPr>
          <w:rFonts w:cs="Arial"/>
        </w:rPr>
      </w:pPr>
      <w:r w:rsidRPr="002C0F03">
        <w:rPr>
          <w:rFonts w:cs="Arial"/>
        </w:rPr>
        <w:t>Discard the paper towels into MPW. If glass is pres</w:t>
      </w:r>
      <w:r>
        <w:rPr>
          <w:rFonts w:cs="Arial"/>
        </w:rPr>
        <w:t xml:space="preserve">ent, do not use your </w:t>
      </w:r>
      <w:r w:rsidRPr="002C0F03">
        <w:rPr>
          <w:rFonts w:cs="Arial"/>
        </w:rPr>
        <w:t>hands</w:t>
      </w:r>
      <w:r>
        <w:rPr>
          <w:rFonts w:cs="Arial"/>
        </w:rPr>
        <w:t xml:space="preserve"> to collect debris</w:t>
      </w:r>
      <w:r w:rsidRPr="002C0F03">
        <w:rPr>
          <w:rFonts w:cs="Arial"/>
        </w:rPr>
        <w:t xml:space="preserve">! Use forceps or a dustpan to remove </w:t>
      </w:r>
      <w:r>
        <w:rPr>
          <w:rFonts w:cs="Arial"/>
        </w:rPr>
        <w:t xml:space="preserve">or </w:t>
      </w:r>
      <w:r w:rsidRPr="002C0F03">
        <w:rPr>
          <w:rFonts w:cs="Arial"/>
        </w:rPr>
        <w:t>clean up glass</w:t>
      </w:r>
      <w:r>
        <w:rPr>
          <w:rFonts w:cs="Arial"/>
        </w:rPr>
        <w:t xml:space="preserve"> and dispose of in a </w:t>
      </w:r>
      <w:proofErr w:type="gramStart"/>
      <w:r>
        <w:rPr>
          <w:rFonts w:cs="Arial"/>
        </w:rPr>
        <w:t>sharps</w:t>
      </w:r>
      <w:proofErr w:type="gramEnd"/>
      <w:r>
        <w:rPr>
          <w:rFonts w:cs="Arial"/>
        </w:rPr>
        <w:t xml:space="preserve"> container</w:t>
      </w:r>
      <w:r w:rsidRPr="002C0F03">
        <w:rPr>
          <w:rFonts w:cs="Arial"/>
        </w:rPr>
        <w:t xml:space="preserve">. </w:t>
      </w:r>
    </w:p>
    <w:p w14:paraId="4B684AED" w14:textId="77777777" w:rsidR="00AB0C29" w:rsidRPr="002C0F03" w:rsidRDefault="00AB0C29" w:rsidP="00722064">
      <w:pPr>
        <w:numPr>
          <w:ilvl w:val="0"/>
          <w:numId w:val="13"/>
        </w:numPr>
        <w:spacing w:after="0" w:line="240" w:lineRule="auto"/>
        <w:rPr>
          <w:rFonts w:cs="Arial"/>
        </w:rPr>
      </w:pPr>
      <w:r w:rsidRPr="002C0F03">
        <w:rPr>
          <w:rFonts w:cs="Arial"/>
        </w:rPr>
        <w:t>If contact with bleach occurs with skin, mucous membranes or eyes, flush area with water</w:t>
      </w:r>
      <w:r>
        <w:rPr>
          <w:rFonts w:cs="Arial"/>
        </w:rPr>
        <w:t xml:space="preserve"> for 15 minutes</w:t>
      </w:r>
      <w:r w:rsidRPr="002C0F03">
        <w:rPr>
          <w:rFonts w:cs="Arial"/>
        </w:rPr>
        <w:t>.</w:t>
      </w:r>
    </w:p>
    <w:p w14:paraId="7B0F47E0" w14:textId="67610E99" w:rsidR="00AB0C29" w:rsidRPr="004C314A" w:rsidRDefault="00AB0C29" w:rsidP="00722064">
      <w:pPr>
        <w:numPr>
          <w:ilvl w:val="0"/>
          <w:numId w:val="13"/>
        </w:numPr>
        <w:spacing w:after="0" w:line="240" w:lineRule="auto"/>
        <w:rPr>
          <w:rFonts w:cs="Arial"/>
        </w:rPr>
      </w:pPr>
      <w:r w:rsidRPr="004C314A">
        <w:rPr>
          <w:rFonts w:cs="Arial"/>
        </w:rPr>
        <w:t xml:space="preserve">Discard gloves into </w:t>
      </w:r>
      <w:r>
        <w:rPr>
          <w:rFonts w:cs="Arial"/>
        </w:rPr>
        <w:t>MPW and w</w:t>
      </w:r>
      <w:r w:rsidRPr="004C314A">
        <w:rPr>
          <w:rFonts w:cs="Arial"/>
        </w:rPr>
        <w:t>ash hands thoroughly.</w:t>
      </w:r>
    </w:p>
    <w:p w14:paraId="14455E27" w14:textId="42D08B64" w:rsidR="00AB0C29" w:rsidRDefault="00AB0C29" w:rsidP="00722064">
      <w:pPr>
        <w:numPr>
          <w:ilvl w:val="0"/>
          <w:numId w:val="13"/>
        </w:numPr>
        <w:spacing w:after="0" w:line="240" w:lineRule="auto"/>
        <w:rPr>
          <w:rFonts w:cs="Arial"/>
        </w:rPr>
      </w:pPr>
      <w:r>
        <w:rPr>
          <w:rFonts w:cs="Arial"/>
        </w:rPr>
        <w:lastRenderedPageBreak/>
        <w:t>Verify that the incident has been r</w:t>
      </w:r>
      <w:r w:rsidRPr="004C314A">
        <w:rPr>
          <w:rFonts w:cs="Arial"/>
        </w:rPr>
        <w:t>eport</w:t>
      </w:r>
      <w:r>
        <w:rPr>
          <w:rFonts w:cs="Arial"/>
        </w:rPr>
        <w:t>ed</w:t>
      </w:r>
      <w:r w:rsidRPr="004C314A">
        <w:rPr>
          <w:rFonts w:cs="Arial"/>
        </w:rPr>
        <w:t xml:space="preserve"> to</w:t>
      </w:r>
      <w:r>
        <w:rPr>
          <w:rFonts w:cs="Arial"/>
        </w:rPr>
        <w:t xml:space="preserve"> your</w:t>
      </w:r>
      <w:r w:rsidRPr="004C314A">
        <w:rPr>
          <w:rFonts w:cs="Arial"/>
        </w:rPr>
        <w:t xml:space="preserve"> supervisor and Principal Investigator</w:t>
      </w:r>
      <w:r>
        <w:rPr>
          <w:rFonts w:cs="Arial"/>
        </w:rPr>
        <w:t xml:space="preserve"> and entered in </w:t>
      </w:r>
      <w:r w:rsidRPr="00F24A64">
        <w:rPr>
          <w:rFonts w:cs="Arial"/>
          <w:b/>
        </w:rPr>
        <w:t>Appendix D</w:t>
      </w:r>
      <w:r>
        <w:rPr>
          <w:rFonts w:cs="Arial"/>
        </w:rPr>
        <w:t>, Incidents/Comments Log.</w:t>
      </w:r>
    </w:p>
    <w:p w14:paraId="18AE3A25" w14:textId="77777777" w:rsidR="009646AA" w:rsidRPr="009646AA" w:rsidRDefault="009646AA" w:rsidP="009646AA">
      <w:pPr>
        <w:rPr>
          <w:rFonts w:eastAsia="Times" w:cs="Arial"/>
          <w:b/>
          <w:bCs/>
        </w:rPr>
      </w:pPr>
    </w:p>
    <w:p w14:paraId="6EF94BF8" w14:textId="77777777" w:rsidR="009646AA" w:rsidRPr="009646AA" w:rsidRDefault="009646AA" w:rsidP="009646AA">
      <w:pPr>
        <w:pStyle w:val="Heading2"/>
        <w:rPr>
          <w:rFonts w:eastAsia="Times"/>
        </w:rPr>
      </w:pPr>
      <w:r w:rsidRPr="009646AA">
        <w:rPr>
          <w:rFonts w:eastAsia="Times"/>
        </w:rPr>
        <w:t xml:space="preserve">B. Spills inside of a Biological Safety Cabinet: </w:t>
      </w:r>
    </w:p>
    <w:p w14:paraId="6CF27FB7" w14:textId="77777777" w:rsidR="002D43D1" w:rsidRDefault="002D43D1" w:rsidP="009646AA">
      <w:pPr>
        <w:rPr>
          <w:rFonts w:eastAsia="Times" w:cs="Arial"/>
        </w:rPr>
      </w:pPr>
    </w:p>
    <w:p w14:paraId="3219EF09" w14:textId="77777777" w:rsidR="00AB0C29" w:rsidRDefault="00AB0C29" w:rsidP="00722064">
      <w:pPr>
        <w:numPr>
          <w:ilvl w:val="0"/>
          <w:numId w:val="14"/>
        </w:numPr>
        <w:spacing w:after="0" w:line="240" w:lineRule="auto"/>
        <w:rPr>
          <w:rFonts w:cs="Arial"/>
        </w:rPr>
      </w:pPr>
      <w:r>
        <w:rPr>
          <w:rFonts w:cs="Arial"/>
        </w:rPr>
        <w:t>Contain the spill with paper towels.</w:t>
      </w:r>
    </w:p>
    <w:p w14:paraId="27F3F327" w14:textId="10BE089B" w:rsidR="00887636" w:rsidRPr="00887636" w:rsidRDefault="00AB0C29" w:rsidP="00722064">
      <w:pPr>
        <w:numPr>
          <w:ilvl w:val="0"/>
          <w:numId w:val="14"/>
        </w:numPr>
        <w:spacing w:after="0" w:line="240" w:lineRule="auto"/>
        <w:rPr>
          <w:rFonts w:cs="Arial"/>
        </w:rPr>
      </w:pPr>
      <w:r>
        <w:rPr>
          <w:rFonts w:cs="Arial"/>
        </w:rPr>
        <w:t>Wearing lab coat and gloves, p</w:t>
      </w:r>
      <w:r w:rsidRPr="00566CB2">
        <w:rPr>
          <w:rFonts w:cs="Arial"/>
        </w:rPr>
        <w:t xml:space="preserve">repare a fresh dilution </w:t>
      </w:r>
      <w:r>
        <w:rPr>
          <w:rFonts w:cs="Arial"/>
        </w:rPr>
        <w:t xml:space="preserve">of bleach at </w:t>
      </w:r>
      <w:r w:rsidRPr="00F32A5A">
        <w:rPr>
          <w:rFonts w:cs="Arial"/>
          <w:szCs w:val="24"/>
        </w:rPr>
        <w:t xml:space="preserve">a final concentration of </w:t>
      </w:r>
      <w:r>
        <w:rPr>
          <w:rFonts w:cs="Arial"/>
          <w:szCs w:val="24"/>
        </w:rPr>
        <w:t>0.525% (e.g.</w:t>
      </w:r>
      <w:r w:rsidR="009B2D79">
        <w:rPr>
          <w:rFonts w:cs="Arial"/>
          <w:szCs w:val="24"/>
        </w:rPr>
        <w:t>,</w:t>
      </w:r>
      <w:r>
        <w:rPr>
          <w:rFonts w:cs="Arial"/>
          <w:szCs w:val="24"/>
        </w:rPr>
        <w:t xml:space="preserve"> 1:10 solution)</w:t>
      </w:r>
      <w:r w:rsidRPr="00F32A5A">
        <w:rPr>
          <w:rFonts w:cs="Arial"/>
          <w:szCs w:val="24"/>
        </w:rPr>
        <w:t xml:space="preserve"> or </w:t>
      </w:r>
      <w:r>
        <w:rPr>
          <w:rFonts w:cs="Arial"/>
          <w:szCs w:val="24"/>
        </w:rPr>
        <w:t xml:space="preserve">use </w:t>
      </w:r>
      <w:r w:rsidRPr="00F32A5A">
        <w:rPr>
          <w:rFonts w:cs="Arial"/>
          <w:szCs w:val="24"/>
        </w:rPr>
        <w:t xml:space="preserve">other appropriate disinfectant </w:t>
      </w:r>
      <w:r>
        <w:rPr>
          <w:rFonts w:cs="Arial"/>
          <w:szCs w:val="24"/>
        </w:rPr>
        <w:t xml:space="preserve">at the </w:t>
      </w:r>
      <w:r w:rsidRPr="00F32A5A">
        <w:rPr>
          <w:rFonts w:cs="Arial"/>
          <w:szCs w:val="24"/>
        </w:rPr>
        <w:t xml:space="preserve">final concentration recommended by the manufacturer. </w:t>
      </w:r>
      <w:r>
        <w:rPr>
          <w:rFonts w:cs="Arial"/>
        </w:rPr>
        <w:t>Allow at least a 20</w:t>
      </w:r>
      <w:r w:rsidRPr="00566CB2">
        <w:rPr>
          <w:rFonts w:cs="Arial"/>
        </w:rPr>
        <w:t xml:space="preserve">-minute contact time for bleach. If using another disinfectant, consult manufacturer’s directions for the appropriate contact time. </w:t>
      </w:r>
    </w:p>
    <w:p w14:paraId="54C3F290" w14:textId="6A37F88D" w:rsidR="00AB0C29" w:rsidRPr="00566CB2" w:rsidRDefault="00AB0C29" w:rsidP="00DE05B3">
      <w:pPr>
        <w:spacing w:after="0"/>
        <w:ind w:left="720"/>
        <w:rPr>
          <w:rFonts w:cs="Arial"/>
        </w:rPr>
      </w:pPr>
      <w:r>
        <w:rPr>
          <w:rFonts w:cs="Arial"/>
        </w:rPr>
        <w:t xml:space="preserve">Place paper toweling over spill area and pour disinfectant onto the towels so that they are saturated. Add more towels and disinfectant to absorb and disinfect the entire spill. </w:t>
      </w:r>
      <w:r w:rsidRPr="00566CB2">
        <w:rPr>
          <w:rFonts w:cs="Arial"/>
        </w:rPr>
        <w:t>Dis</w:t>
      </w:r>
      <w:r>
        <w:rPr>
          <w:rFonts w:cs="Arial"/>
        </w:rPr>
        <w:t xml:space="preserve">pose of the </w:t>
      </w:r>
      <w:r w:rsidRPr="00566CB2">
        <w:rPr>
          <w:rFonts w:cs="Arial"/>
        </w:rPr>
        <w:t xml:space="preserve">paper toweling </w:t>
      </w:r>
      <w:r>
        <w:rPr>
          <w:rFonts w:cs="Arial"/>
        </w:rPr>
        <w:t>and</w:t>
      </w:r>
      <w:r w:rsidRPr="00566CB2">
        <w:rPr>
          <w:rFonts w:cs="Arial"/>
        </w:rPr>
        <w:t xml:space="preserve"> </w:t>
      </w:r>
      <w:r>
        <w:rPr>
          <w:rFonts w:cs="Arial"/>
        </w:rPr>
        <w:t>in a</w:t>
      </w:r>
      <w:r w:rsidRPr="00566CB2">
        <w:rPr>
          <w:rFonts w:cs="Arial"/>
        </w:rPr>
        <w:t xml:space="preserve"> biohazard bag or </w:t>
      </w:r>
      <w:r>
        <w:rPr>
          <w:rFonts w:cs="Arial"/>
        </w:rPr>
        <w:t>MPW box</w:t>
      </w:r>
      <w:r w:rsidRPr="00566CB2">
        <w:rPr>
          <w:rFonts w:cs="Arial"/>
        </w:rPr>
        <w:t>.</w:t>
      </w:r>
    </w:p>
    <w:p w14:paraId="7C3D5E84" w14:textId="686533C4" w:rsidR="00AB0C29" w:rsidRPr="00F44E5C" w:rsidRDefault="00AB0C29" w:rsidP="00722064">
      <w:pPr>
        <w:numPr>
          <w:ilvl w:val="0"/>
          <w:numId w:val="14"/>
        </w:numPr>
        <w:spacing w:after="0" w:line="240" w:lineRule="auto"/>
        <w:rPr>
          <w:rFonts w:cs="Arial"/>
        </w:rPr>
      </w:pPr>
      <w:r w:rsidRPr="00566CB2">
        <w:rPr>
          <w:rFonts w:cs="Arial"/>
        </w:rPr>
        <w:t xml:space="preserve">Spills </w:t>
      </w:r>
      <w:r>
        <w:rPr>
          <w:rFonts w:cs="Arial"/>
        </w:rPr>
        <w:t xml:space="preserve">that </w:t>
      </w:r>
      <w:r w:rsidRPr="00566CB2">
        <w:rPr>
          <w:rFonts w:cs="Arial"/>
        </w:rPr>
        <w:t xml:space="preserve">result in liquids flowing through the front or rear grilles require </w:t>
      </w:r>
      <w:r>
        <w:rPr>
          <w:rFonts w:cs="Arial"/>
        </w:rPr>
        <w:t>more extensive decontamination. Contact the</w:t>
      </w:r>
      <w:r w:rsidRPr="00566CB2">
        <w:rPr>
          <w:rFonts w:cs="Arial"/>
        </w:rPr>
        <w:t xml:space="preserve"> </w:t>
      </w:r>
      <w:r>
        <w:rPr>
          <w:rFonts w:cs="Arial"/>
        </w:rPr>
        <w:t xml:space="preserve">Division of Occupational Health and Safety immediately </w:t>
      </w:r>
      <w:r w:rsidRPr="00566CB2">
        <w:rPr>
          <w:rFonts w:cs="Arial"/>
        </w:rPr>
        <w:t>for further guidance.</w:t>
      </w:r>
    </w:p>
    <w:p w14:paraId="22F5B867" w14:textId="77777777" w:rsidR="009646AA" w:rsidRPr="009646AA" w:rsidRDefault="009646AA" w:rsidP="009646AA">
      <w:pPr>
        <w:rPr>
          <w:rFonts w:eastAsia="Times" w:cs="Arial"/>
        </w:rPr>
      </w:pPr>
    </w:p>
    <w:p w14:paraId="47B01E1C" w14:textId="77777777" w:rsidR="009646AA" w:rsidRPr="009646AA" w:rsidRDefault="009646AA" w:rsidP="009646AA">
      <w:pPr>
        <w:pStyle w:val="Heading2"/>
        <w:rPr>
          <w:rFonts w:eastAsia="Times"/>
        </w:rPr>
      </w:pPr>
      <w:r w:rsidRPr="009646AA">
        <w:rPr>
          <w:rFonts w:eastAsia="Times"/>
        </w:rPr>
        <w:t xml:space="preserve">C. Spills in a centrifuge: </w:t>
      </w:r>
    </w:p>
    <w:p w14:paraId="5ABF8E50" w14:textId="77777777" w:rsidR="002D43D1" w:rsidRDefault="002D43D1" w:rsidP="009646AA">
      <w:pPr>
        <w:rPr>
          <w:rFonts w:eastAsia="Times" w:cs="Arial"/>
        </w:rPr>
      </w:pPr>
    </w:p>
    <w:p w14:paraId="60FE77B5" w14:textId="77777777" w:rsidR="00641EF0" w:rsidRPr="00295B6F" w:rsidRDefault="00641EF0" w:rsidP="00722064">
      <w:pPr>
        <w:numPr>
          <w:ilvl w:val="0"/>
          <w:numId w:val="15"/>
        </w:numPr>
        <w:spacing w:after="0" w:line="240" w:lineRule="auto"/>
        <w:rPr>
          <w:rFonts w:cs="Arial"/>
        </w:rPr>
      </w:pPr>
      <w:bookmarkStart w:id="20" w:name="_Toc47685032"/>
      <w:r>
        <w:rPr>
          <w:rFonts w:cs="Arial"/>
        </w:rPr>
        <w:t>Turn off or unplug centrifuge and w</w:t>
      </w:r>
      <w:r w:rsidRPr="00295B6F">
        <w:rPr>
          <w:rFonts w:cs="Arial"/>
        </w:rPr>
        <w:t xml:space="preserve">ait at least </w:t>
      </w:r>
      <w:r w:rsidRPr="003A7040">
        <w:rPr>
          <w:rFonts w:cs="Arial"/>
        </w:rPr>
        <w:t>30 minutes</w:t>
      </w:r>
      <w:r>
        <w:rPr>
          <w:rFonts w:cs="Arial"/>
        </w:rPr>
        <w:t xml:space="preserve"> before reopening it</w:t>
      </w:r>
      <w:r w:rsidRPr="00295B6F">
        <w:rPr>
          <w:rFonts w:cs="Arial"/>
        </w:rPr>
        <w:t xml:space="preserve"> </w:t>
      </w:r>
      <w:r>
        <w:rPr>
          <w:rFonts w:cs="Arial"/>
        </w:rPr>
        <w:t xml:space="preserve">to reduce the risk of aerosol exposure </w:t>
      </w:r>
      <w:r w:rsidRPr="00295B6F">
        <w:rPr>
          <w:rFonts w:cs="Arial"/>
        </w:rPr>
        <w:t xml:space="preserve">(or </w:t>
      </w:r>
      <w:r>
        <w:rPr>
          <w:rFonts w:cs="Arial"/>
        </w:rPr>
        <w:t xml:space="preserve">wait 30 minutes before </w:t>
      </w:r>
      <w:r w:rsidRPr="00295B6F">
        <w:rPr>
          <w:rFonts w:cs="Arial"/>
        </w:rPr>
        <w:t>reopening if breakage is discovered after the machine has stopped).</w:t>
      </w:r>
    </w:p>
    <w:p w14:paraId="1D4331E6" w14:textId="77777777" w:rsidR="00641EF0" w:rsidRPr="00A269C0" w:rsidRDefault="00641EF0" w:rsidP="00722064">
      <w:pPr>
        <w:numPr>
          <w:ilvl w:val="0"/>
          <w:numId w:val="15"/>
        </w:numPr>
        <w:spacing w:after="0" w:line="240" w:lineRule="auto"/>
        <w:rPr>
          <w:rFonts w:cs="Arial"/>
          <w:szCs w:val="24"/>
        </w:rPr>
      </w:pPr>
      <w:r w:rsidRPr="00566CB2">
        <w:rPr>
          <w:rFonts w:cs="Arial"/>
        </w:rPr>
        <w:t xml:space="preserve">Before </w:t>
      </w:r>
      <w:r>
        <w:rPr>
          <w:rFonts w:cs="Arial"/>
        </w:rPr>
        <w:t>attempting to deal with the spill</w:t>
      </w:r>
      <w:r w:rsidRPr="00566CB2">
        <w:rPr>
          <w:rFonts w:cs="Arial"/>
        </w:rPr>
        <w:t xml:space="preserve">, </w:t>
      </w:r>
      <w:r>
        <w:rPr>
          <w:rFonts w:cs="Arial"/>
        </w:rPr>
        <w:t xml:space="preserve">prepare a disinfectant that is safe for use on centrifuge rotors and components </w:t>
      </w:r>
      <w:r w:rsidRPr="00A269C0">
        <w:rPr>
          <w:rFonts w:cs="Arial"/>
          <w:szCs w:val="24"/>
        </w:rPr>
        <w:t>(</w:t>
      </w:r>
      <w:r w:rsidRPr="00DE05B3">
        <w:rPr>
          <w:rStyle w:val="style141"/>
          <w:rFonts w:cs="Arial"/>
          <w:sz w:val="22"/>
          <w:szCs w:val="22"/>
        </w:rPr>
        <w:t>moisture, chemicals, strong cleaning agents and other substances can promote corrosion of centrifuge parts and cause centrifuge failure</w:t>
      </w:r>
      <w:r w:rsidRPr="00A269C0">
        <w:rPr>
          <w:rFonts w:cs="Arial"/>
          <w:szCs w:val="24"/>
        </w:rPr>
        <w:t xml:space="preserve">). </w:t>
      </w:r>
      <w:r>
        <w:rPr>
          <w:rFonts w:cs="Arial"/>
          <w:szCs w:val="24"/>
        </w:rPr>
        <w:t>Prepare per manufacturer’s instructions.</w:t>
      </w:r>
    </w:p>
    <w:p w14:paraId="35DE018C" w14:textId="4357CC1E" w:rsidR="00641EF0" w:rsidRDefault="00641EF0" w:rsidP="00722064">
      <w:pPr>
        <w:numPr>
          <w:ilvl w:val="0"/>
          <w:numId w:val="15"/>
        </w:numPr>
        <w:spacing w:after="0" w:line="240" w:lineRule="auto"/>
        <w:rPr>
          <w:rFonts w:cs="Arial"/>
        </w:rPr>
      </w:pPr>
      <w:r w:rsidRPr="38A730F4">
        <w:rPr>
          <w:rFonts w:cs="Arial"/>
        </w:rPr>
        <w:t>Lab coats, gloves and eye protection must be worn when cleaning up spills. If the rotor is sealed, and removable, before opening</w:t>
      </w:r>
      <w:r w:rsidR="3D6F0111" w:rsidRPr="38A730F4">
        <w:rPr>
          <w:rFonts w:cs="Arial"/>
        </w:rPr>
        <w:t>,</w:t>
      </w:r>
      <w:r w:rsidRPr="38A730F4">
        <w:rPr>
          <w:rFonts w:cs="Arial"/>
        </w:rPr>
        <w:t xml:space="preserve"> place it in a BSC and carefully remove the lid from the rotor. If the rotor is not removable, remove the buckets and place them in the BSC. Buckets may be immersed in a pan of disinfectant solution immediately after removal.</w:t>
      </w:r>
    </w:p>
    <w:p w14:paraId="20EE2C28" w14:textId="77777777" w:rsidR="00641EF0" w:rsidRPr="00295B6F" w:rsidRDefault="00641EF0" w:rsidP="00722064">
      <w:pPr>
        <w:numPr>
          <w:ilvl w:val="0"/>
          <w:numId w:val="15"/>
        </w:numPr>
        <w:spacing w:after="0" w:line="240" w:lineRule="auto"/>
        <w:rPr>
          <w:rFonts w:cs="Arial"/>
        </w:rPr>
      </w:pPr>
      <w:r w:rsidRPr="00295B6F">
        <w:rPr>
          <w:rFonts w:cs="Arial"/>
        </w:rPr>
        <w:t xml:space="preserve">Retrieve unbroken tubes, wipe outside </w:t>
      </w:r>
      <w:r>
        <w:rPr>
          <w:rFonts w:cs="Arial"/>
        </w:rPr>
        <w:t xml:space="preserve">of the tubes </w:t>
      </w:r>
      <w:r w:rsidRPr="00295B6F">
        <w:rPr>
          <w:rFonts w:cs="Arial"/>
        </w:rPr>
        <w:t xml:space="preserve">with disinfectant and leave them in the cabinet, out of the way. The broken tube must be removed with a forceps or other instrument and immersed in a beaker of disinfectant solution for a minimum of </w:t>
      </w:r>
      <w:r>
        <w:rPr>
          <w:rFonts w:cs="Arial"/>
        </w:rPr>
        <w:t>20</w:t>
      </w:r>
      <w:r w:rsidRPr="00295B6F">
        <w:rPr>
          <w:rFonts w:cs="Arial"/>
        </w:rPr>
        <w:t xml:space="preserve"> minutes. Do not use </w:t>
      </w:r>
      <w:r>
        <w:rPr>
          <w:rFonts w:cs="Arial"/>
        </w:rPr>
        <w:t>your</w:t>
      </w:r>
      <w:r w:rsidRPr="00295B6F">
        <w:rPr>
          <w:rFonts w:cs="Arial"/>
        </w:rPr>
        <w:t xml:space="preserve"> hands. </w:t>
      </w:r>
    </w:p>
    <w:p w14:paraId="6C20BB44" w14:textId="77777777" w:rsidR="00641EF0" w:rsidRPr="00295B6F" w:rsidRDefault="00641EF0" w:rsidP="00722064">
      <w:pPr>
        <w:numPr>
          <w:ilvl w:val="0"/>
          <w:numId w:val="15"/>
        </w:numPr>
        <w:spacing w:after="0" w:line="240" w:lineRule="auto"/>
        <w:rPr>
          <w:rFonts w:cs="Arial"/>
        </w:rPr>
      </w:pPr>
      <w:r w:rsidRPr="00295B6F">
        <w:rPr>
          <w:rFonts w:cs="Arial"/>
        </w:rPr>
        <w:t>All instruments and rotor pieces involved in the incident must be chemically decontaminated before re-use. After proper decontamination, instruments and rotor pieces may be washed with a mild detergent according to th</w:t>
      </w:r>
      <w:r>
        <w:rPr>
          <w:rFonts w:cs="Arial"/>
        </w:rPr>
        <w:t>e manufacturer’s instructions. If the 1:10 bleach solution may cause corrosion of centrifuge parts, follow decontamination with a water rinse.</w:t>
      </w:r>
    </w:p>
    <w:p w14:paraId="3EBD1D82" w14:textId="532EE3C6" w:rsidR="00641EF0" w:rsidRDefault="00641EF0" w:rsidP="00722064">
      <w:pPr>
        <w:numPr>
          <w:ilvl w:val="0"/>
          <w:numId w:val="15"/>
        </w:numPr>
        <w:spacing w:after="0" w:line="240" w:lineRule="auto"/>
        <w:rPr>
          <w:rFonts w:cs="Arial"/>
        </w:rPr>
      </w:pPr>
      <w:r w:rsidRPr="00295B6F">
        <w:rPr>
          <w:rFonts w:cs="Arial"/>
        </w:rPr>
        <w:t>The inside of the centrifuge chamber</w:t>
      </w:r>
      <w:r>
        <w:rPr>
          <w:rFonts w:cs="Arial"/>
        </w:rPr>
        <w:t>, including interior of lid,</w:t>
      </w:r>
      <w:r w:rsidRPr="00295B6F">
        <w:rPr>
          <w:rFonts w:cs="Arial"/>
        </w:rPr>
        <w:t xml:space="preserve"> must be wiped </w:t>
      </w:r>
      <w:r>
        <w:rPr>
          <w:rFonts w:cs="Arial"/>
        </w:rPr>
        <w:t>down</w:t>
      </w:r>
      <w:r w:rsidRPr="00295B6F">
        <w:rPr>
          <w:rFonts w:cs="Arial"/>
        </w:rPr>
        <w:t xml:space="preserve"> with disinfectant</w:t>
      </w:r>
      <w:r>
        <w:rPr>
          <w:rFonts w:cs="Arial"/>
        </w:rPr>
        <w:t>, allowing at least a 20-minute contact time, and then rinse.</w:t>
      </w:r>
    </w:p>
    <w:p w14:paraId="48E4F9EC" w14:textId="1354A828" w:rsidR="003417A8" w:rsidRDefault="003417A8" w:rsidP="003417A8">
      <w:pPr>
        <w:spacing w:after="0" w:line="240" w:lineRule="auto"/>
        <w:ind w:left="720"/>
        <w:rPr>
          <w:rFonts w:cs="Arial"/>
        </w:rPr>
      </w:pPr>
    </w:p>
    <w:p w14:paraId="31C3BCB5" w14:textId="77777777" w:rsidR="003417A8" w:rsidRPr="00295B6F" w:rsidRDefault="003417A8" w:rsidP="003417A8">
      <w:pPr>
        <w:spacing w:after="0" w:line="240" w:lineRule="auto"/>
        <w:ind w:left="720"/>
        <w:rPr>
          <w:rFonts w:cs="Arial"/>
        </w:rPr>
      </w:pPr>
    </w:p>
    <w:p w14:paraId="54C2896E" w14:textId="3CF0B249" w:rsidR="000539E6" w:rsidRPr="009646AA" w:rsidRDefault="000539E6" w:rsidP="000539E6">
      <w:pPr>
        <w:pStyle w:val="Heading2"/>
        <w:rPr>
          <w:rFonts w:eastAsia="Times"/>
        </w:rPr>
      </w:pPr>
      <w:r>
        <w:rPr>
          <w:rFonts w:eastAsia="Times"/>
        </w:rPr>
        <w:t>D</w:t>
      </w:r>
      <w:r w:rsidRPr="009646AA">
        <w:rPr>
          <w:rFonts w:eastAsia="Times"/>
        </w:rPr>
        <w:t xml:space="preserve">. </w:t>
      </w:r>
      <w:r>
        <w:rPr>
          <w:rFonts w:eastAsia="Times"/>
        </w:rPr>
        <w:t>Biological/Radioactive emergencies/spills</w:t>
      </w:r>
      <w:r w:rsidRPr="009646AA">
        <w:rPr>
          <w:rFonts w:eastAsia="Times"/>
        </w:rPr>
        <w:t xml:space="preserve"> </w:t>
      </w:r>
    </w:p>
    <w:p w14:paraId="7DC4EE8A" w14:textId="77777777" w:rsidR="000539E6" w:rsidRDefault="000539E6" w:rsidP="000539E6">
      <w:pPr>
        <w:tabs>
          <w:tab w:val="left" w:pos="0"/>
          <w:tab w:val="left" w:pos="1440"/>
          <w:tab w:val="left" w:pos="1800"/>
        </w:tabs>
        <w:rPr>
          <w:rFonts w:cs="Arial"/>
        </w:rPr>
      </w:pPr>
    </w:p>
    <w:p w14:paraId="7229F5C0" w14:textId="37214C0D" w:rsidR="00CA7447" w:rsidRPr="00B04BE3" w:rsidRDefault="000539E6" w:rsidP="32D45BD8">
      <w:pPr>
        <w:tabs>
          <w:tab w:val="left" w:pos="1440"/>
          <w:tab w:val="left" w:pos="1800"/>
        </w:tabs>
        <w:rPr>
          <w:rFonts w:cs="Arial"/>
        </w:rPr>
      </w:pPr>
      <w:r w:rsidRPr="38A730F4">
        <w:rPr>
          <w:rFonts w:cs="Arial"/>
        </w:rPr>
        <w:lastRenderedPageBreak/>
        <w:t xml:space="preserve">The Division of Radiation Safety (301-496-5774) and the Division of Occupational Health and Safety (301-496-2346) must be </w:t>
      </w:r>
      <w:r w:rsidR="00143401" w:rsidRPr="38A730F4">
        <w:rPr>
          <w:rFonts w:cs="Arial"/>
        </w:rPr>
        <w:t>notified</w:t>
      </w:r>
      <w:r w:rsidRPr="38A730F4">
        <w:rPr>
          <w:rFonts w:cs="Arial"/>
        </w:rPr>
        <w:t xml:space="preserve"> of a radioactive spill.  First, determine if anyone has been exposed. If so, remove contaminated clothing and wash exposed skin with soap and water. Neutralize the infectious agent, taking care in choosing a disinfecting agent to avoid chemical incompatibility. For example, chlorine compounds</w:t>
      </w:r>
      <w:r w:rsidR="495A17F9" w:rsidRPr="38A730F4">
        <w:rPr>
          <w:rFonts w:cs="Arial"/>
        </w:rPr>
        <w:t>,</w:t>
      </w:r>
      <w:r w:rsidRPr="38A730F4">
        <w:rPr>
          <w:rFonts w:cs="Arial"/>
        </w:rPr>
        <w:t xml:space="preserve"> such as bleach</w:t>
      </w:r>
      <w:r w:rsidR="165162F7" w:rsidRPr="38A730F4">
        <w:rPr>
          <w:rFonts w:cs="Arial"/>
        </w:rPr>
        <w:t>,</w:t>
      </w:r>
      <w:r w:rsidRPr="38A730F4">
        <w:rPr>
          <w:rFonts w:cs="Arial"/>
        </w:rPr>
        <w:t xml:space="preserve"> must NOT be used to disinfect anything containing </w:t>
      </w:r>
      <w:r w:rsidRPr="38A730F4">
        <w:rPr>
          <w:rFonts w:cs="Arial"/>
          <w:vertAlign w:val="superscript"/>
        </w:rPr>
        <w:t>125</w:t>
      </w:r>
      <w:r w:rsidRPr="38A730F4">
        <w:rPr>
          <w:rFonts w:cs="Arial"/>
        </w:rPr>
        <w:t>I</w:t>
      </w:r>
      <w:r w:rsidR="3DDB8D70" w:rsidRPr="38A730F4">
        <w:rPr>
          <w:rFonts w:cs="Arial"/>
        </w:rPr>
        <w:t>, as</w:t>
      </w:r>
      <w:r w:rsidRPr="38A730F4">
        <w:rPr>
          <w:rFonts w:cs="Arial"/>
        </w:rPr>
        <w:t xml:space="preserve"> the chlorine will cause the volatilization of radioactive iodine. Then, proceed with clean-up as instructed by the Division of Radiation Safety.</w:t>
      </w:r>
      <w:bookmarkEnd w:id="20"/>
    </w:p>
    <w:p w14:paraId="4EC5AE4D" w14:textId="3209F1C4" w:rsidR="00511D1E" w:rsidRDefault="00511D1E" w:rsidP="00511D1E">
      <w:pPr>
        <w:pStyle w:val="Heading1"/>
      </w:pPr>
      <w:r>
        <w:t>Waste Disposal</w:t>
      </w:r>
    </w:p>
    <w:p w14:paraId="44ADD9AD" w14:textId="2BC14928" w:rsidR="00710DAC" w:rsidRDefault="00710DAC" w:rsidP="00710DAC">
      <w:pPr>
        <w:pStyle w:val="BodyTextIndent"/>
        <w:tabs>
          <w:tab w:val="left" w:pos="1800"/>
        </w:tabs>
        <w:ind w:left="0"/>
      </w:pPr>
      <w:bookmarkStart w:id="21" w:name="_Toc47685033"/>
      <w:r w:rsidRPr="00F32A5A">
        <w:rPr>
          <w:rFonts w:cs="Arial"/>
        </w:rPr>
        <w:t>Infectious Waste or “</w:t>
      </w:r>
      <w:r>
        <w:rPr>
          <w:rFonts w:cs="Arial"/>
        </w:rPr>
        <w:t>Medical</w:t>
      </w:r>
      <w:r w:rsidRPr="00F32A5A">
        <w:rPr>
          <w:rFonts w:cs="Arial"/>
        </w:rPr>
        <w:t xml:space="preserve"> </w:t>
      </w:r>
      <w:r>
        <w:rPr>
          <w:rFonts w:cs="Arial"/>
        </w:rPr>
        <w:t>Pathological</w:t>
      </w:r>
      <w:r w:rsidRPr="00F32A5A">
        <w:rPr>
          <w:rFonts w:cs="Arial"/>
        </w:rPr>
        <w:t xml:space="preserve"> Waste”</w:t>
      </w:r>
      <w:r>
        <w:rPr>
          <w:rFonts w:cs="Arial"/>
        </w:rPr>
        <w:t xml:space="preserve"> (</w:t>
      </w:r>
      <w:r w:rsidRPr="000F2229">
        <w:rPr>
          <w:rFonts w:cs="Arial"/>
        </w:rPr>
        <w:t>MPW</w:t>
      </w:r>
      <w:r w:rsidRPr="00F32A5A">
        <w:rPr>
          <w:rFonts w:cs="Arial"/>
        </w:rPr>
        <w:t>) is defined as any</w:t>
      </w:r>
      <w:r>
        <w:rPr>
          <w:rFonts w:cs="Arial"/>
        </w:rPr>
        <w:t xml:space="preserve"> waste </w:t>
      </w:r>
      <w:r w:rsidRPr="00F32A5A">
        <w:rPr>
          <w:rFonts w:cs="Arial"/>
        </w:rPr>
        <w:t>materials capable of producing a disease by an organism likely to be pathogenic to humans, such as the following</w:t>
      </w:r>
      <w:r w:rsidRPr="00F32A5A">
        <w:t>:</w:t>
      </w:r>
    </w:p>
    <w:p w14:paraId="5C84A32E" w14:textId="77777777" w:rsidR="00710DAC" w:rsidRPr="00F32A5A" w:rsidRDefault="00710DAC" w:rsidP="00710DAC">
      <w:pPr>
        <w:pStyle w:val="BodyTextIndent"/>
        <w:tabs>
          <w:tab w:val="left" w:pos="1800"/>
        </w:tabs>
        <w:rPr>
          <w:rFonts w:cs="Arial"/>
        </w:rPr>
      </w:pPr>
    </w:p>
    <w:p w14:paraId="6774F3AD" w14:textId="655CEAB0" w:rsidR="00710DAC" w:rsidRPr="00882AF2" w:rsidRDefault="00710DAC" w:rsidP="00722064">
      <w:pPr>
        <w:numPr>
          <w:ilvl w:val="0"/>
          <w:numId w:val="16"/>
        </w:numPr>
        <w:spacing w:after="0" w:line="240" w:lineRule="auto"/>
        <w:rPr>
          <w:rFonts w:cs="Arial"/>
        </w:rPr>
      </w:pPr>
      <w:r w:rsidRPr="00882AF2">
        <w:rPr>
          <w:rFonts w:cs="Arial"/>
        </w:rPr>
        <w:t>Discarded cultures and stocks of microorganisms, specimens, vaccines</w:t>
      </w:r>
      <w:r w:rsidR="009B2D79">
        <w:rPr>
          <w:rFonts w:cs="Arial"/>
        </w:rPr>
        <w:t>,</w:t>
      </w:r>
      <w:r w:rsidRPr="00882AF2">
        <w:rPr>
          <w:rFonts w:cs="Arial"/>
        </w:rPr>
        <w:t xml:space="preserve"> and associated items containing organisms likely to be pathogenic to healthy humans. </w:t>
      </w:r>
    </w:p>
    <w:p w14:paraId="0CB51722" w14:textId="77777777" w:rsidR="00710DAC" w:rsidRPr="00882AF2" w:rsidRDefault="00710DAC" w:rsidP="00722064">
      <w:pPr>
        <w:numPr>
          <w:ilvl w:val="0"/>
          <w:numId w:val="16"/>
        </w:numPr>
        <w:spacing w:after="0" w:line="240" w:lineRule="auto"/>
        <w:rPr>
          <w:rFonts w:cs="Arial"/>
        </w:rPr>
      </w:pPr>
      <w:r w:rsidRPr="00882AF2">
        <w:rPr>
          <w:rFonts w:cs="Arial"/>
        </w:rPr>
        <w:t xml:space="preserve">Human blood and certain body fluids as defined by </w:t>
      </w:r>
      <w:r>
        <w:rPr>
          <w:rFonts w:cs="Arial"/>
        </w:rPr>
        <w:t>the NIH Exposure Control Program in Appendix A.</w:t>
      </w:r>
      <w:r w:rsidRPr="00882AF2">
        <w:rPr>
          <w:rFonts w:cs="Arial"/>
        </w:rPr>
        <w:t> </w:t>
      </w:r>
    </w:p>
    <w:p w14:paraId="1A451A51" w14:textId="77777777" w:rsidR="00710DAC" w:rsidRPr="00882AF2" w:rsidRDefault="00710DAC" w:rsidP="00722064">
      <w:pPr>
        <w:numPr>
          <w:ilvl w:val="0"/>
          <w:numId w:val="16"/>
        </w:numPr>
        <w:spacing w:after="0" w:line="240" w:lineRule="auto"/>
        <w:rPr>
          <w:rFonts w:cs="Arial"/>
        </w:rPr>
      </w:pPr>
      <w:r w:rsidRPr="00882AF2">
        <w:rPr>
          <w:rFonts w:cs="Arial"/>
        </w:rPr>
        <w:t>Items saturated or caked with human blood or body fluids that would release blood/body fluid in a liquid or semi liquid state if compressed or would flake if handled.</w:t>
      </w:r>
    </w:p>
    <w:p w14:paraId="680F5A48" w14:textId="38A44D9C" w:rsidR="00710DAC" w:rsidRPr="00882AF2" w:rsidRDefault="00710DAC" w:rsidP="00722064">
      <w:pPr>
        <w:numPr>
          <w:ilvl w:val="0"/>
          <w:numId w:val="16"/>
        </w:numPr>
        <w:spacing w:after="0" w:line="240" w:lineRule="auto"/>
        <w:rPr>
          <w:rFonts w:cs="Arial"/>
        </w:rPr>
      </w:pPr>
      <w:r w:rsidRPr="00882AF2">
        <w:rPr>
          <w:rFonts w:cs="Arial"/>
        </w:rPr>
        <w:t>Human tissue or anatomical wastes</w:t>
      </w:r>
      <w:r>
        <w:rPr>
          <w:rFonts w:cs="Arial"/>
        </w:rPr>
        <w:t xml:space="preserve"> and Old-World nonhuman primate blood, tissues</w:t>
      </w:r>
      <w:r w:rsidR="009B2D79">
        <w:rPr>
          <w:rFonts w:cs="Arial"/>
        </w:rPr>
        <w:t>,</w:t>
      </w:r>
      <w:r>
        <w:rPr>
          <w:rFonts w:cs="Arial"/>
        </w:rPr>
        <w:t xml:space="preserve"> and body fluids.</w:t>
      </w:r>
    </w:p>
    <w:p w14:paraId="30077996" w14:textId="393F9E75" w:rsidR="00710DAC" w:rsidRPr="00882AF2" w:rsidRDefault="00710DAC" w:rsidP="00722064">
      <w:pPr>
        <w:numPr>
          <w:ilvl w:val="0"/>
          <w:numId w:val="16"/>
        </w:numPr>
        <w:spacing w:after="0" w:line="240" w:lineRule="auto"/>
        <w:rPr>
          <w:rFonts w:cs="Arial"/>
        </w:rPr>
      </w:pPr>
      <w:r w:rsidRPr="00882AF2">
        <w:rPr>
          <w:rFonts w:cs="Arial"/>
        </w:rPr>
        <w:t xml:space="preserve">Sharps (needles, syringes with attached needles, and scalpel blades, </w:t>
      </w:r>
      <w:proofErr w:type="spellStart"/>
      <w:r w:rsidRPr="00882AF2">
        <w:rPr>
          <w:rFonts w:cs="Arial"/>
        </w:rPr>
        <w:t>etc</w:t>
      </w:r>
      <w:proofErr w:type="spellEnd"/>
      <w:proofErr w:type="gramStart"/>
      <w:r w:rsidRPr="00882AF2">
        <w:rPr>
          <w:rFonts w:cs="Arial"/>
        </w:rPr>
        <w:t>).</w:t>
      </w:r>
      <w:r w:rsidR="009B2D79">
        <w:rPr>
          <w:rFonts w:cs="Arial"/>
        </w:rPr>
        <w:t>contaminated</w:t>
      </w:r>
      <w:proofErr w:type="gramEnd"/>
      <w:r w:rsidR="009B2D79">
        <w:rPr>
          <w:rFonts w:cs="Arial"/>
        </w:rPr>
        <w:t xml:space="preserve"> with infectious or pathogenic material.</w:t>
      </w:r>
      <w:r w:rsidRPr="00882AF2">
        <w:rPr>
          <w:rFonts w:cs="Arial"/>
        </w:rPr>
        <w:t xml:space="preserve"> </w:t>
      </w:r>
    </w:p>
    <w:p w14:paraId="29D04BE1" w14:textId="77777777" w:rsidR="00710DAC" w:rsidRPr="00882AF2" w:rsidRDefault="00710DAC" w:rsidP="00722064">
      <w:pPr>
        <w:numPr>
          <w:ilvl w:val="0"/>
          <w:numId w:val="16"/>
        </w:numPr>
        <w:spacing w:after="0" w:line="240" w:lineRule="auto"/>
        <w:rPr>
          <w:rFonts w:cs="Arial"/>
        </w:rPr>
      </w:pPr>
      <w:r w:rsidRPr="00882AF2">
        <w:rPr>
          <w:rFonts w:cs="Arial"/>
        </w:rPr>
        <w:t xml:space="preserve">Animal carcasses, body parts, bedding and related wastes when intentionally infected with organisms pathogenic to healthy humans. </w:t>
      </w:r>
    </w:p>
    <w:p w14:paraId="36FBCF28" w14:textId="0091BA48" w:rsidR="00710DAC" w:rsidRPr="00882AF2" w:rsidRDefault="00710DAC" w:rsidP="00722064">
      <w:pPr>
        <w:numPr>
          <w:ilvl w:val="0"/>
          <w:numId w:val="16"/>
        </w:numPr>
        <w:spacing w:after="0" w:line="240" w:lineRule="auto"/>
        <w:rPr>
          <w:rFonts w:cs="Arial"/>
        </w:rPr>
      </w:pPr>
      <w:r w:rsidRPr="00882AF2">
        <w:rPr>
          <w:rFonts w:cs="Arial"/>
        </w:rPr>
        <w:t xml:space="preserve">Any </w:t>
      </w:r>
      <w:r>
        <w:rPr>
          <w:rFonts w:cs="Arial"/>
        </w:rPr>
        <w:t>debris</w:t>
      </w:r>
      <w:r w:rsidRPr="00882AF2">
        <w:rPr>
          <w:rFonts w:cs="Arial"/>
        </w:rPr>
        <w:t xml:space="preserve"> that results from the cleanup of a spill of infectious waste. </w:t>
      </w:r>
    </w:p>
    <w:p w14:paraId="7546F1E4" w14:textId="77777777" w:rsidR="00710DAC" w:rsidRPr="00882AF2" w:rsidRDefault="00710DAC" w:rsidP="00722064">
      <w:pPr>
        <w:numPr>
          <w:ilvl w:val="0"/>
          <w:numId w:val="16"/>
        </w:numPr>
        <w:spacing w:after="0" w:line="240" w:lineRule="auto"/>
        <w:rPr>
          <w:rFonts w:cs="Arial"/>
        </w:rPr>
      </w:pPr>
      <w:r w:rsidRPr="38A730F4">
        <w:rPr>
          <w:rFonts w:cs="Arial"/>
        </w:rPr>
        <w:t xml:space="preserve">Any waste contaminated by or mixed with infectious waste. </w:t>
      </w:r>
    </w:p>
    <w:p w14:paraId="64A952C5" w14:textId="763DF05A" w:rsidR="38A730F4" w:rsidRDefault="38A730F4" w:rsidP="38A730F4">
      <w:pPr>
        <w:spacing w:beforeAutospacing="1" w:afterAutospacing="1"/>
        <w:rPr>
          <w:rFonts w:cs="Arial"/>
        </w:rPr>
      </w:pPr>
    </w:p>
    <w:p w14:paraId="02C7A14A" w14:textId="28689328" w:rsidR="00CE79A5" w:rsidRDefault="00710DAC" w:rsidP="00710DAC">
      <w:pPr>
        <w:spacing w:before="100" w:beforeAutospacing="1" w:after="100" w:afterAutospacing="1"/>
        <w:rPr>
          <w:rFonts w:cs="Arial"/>
        </w:rPr>
      </w:pPr>
      <w:r w:rsidRPr="38A730F4">
        <w:rPr>
          <w:rFonts w:cs="Arial"/>
        </w:rPr>
        <w:t xml:space="preserve">The disposal of MPW is both highly regulated and very costly. NIH employees must use the utmost care to segregate all waste materials properly. Refer to the NIH Waste Disposal Guide at </w:t>
      </w:r>
      <w:hyperlink r:id="rId17" w:history="1">
        <w:r w:rsidR="00CE79A5" w:rsidRPr="00822C6B">
          <w:rPr>
            <w:rStyle w:val="Hyperlink"/>
            <w:rFonts w:cs="Arial"/>
          </w:rPr>
          <w:t>https://orf.od.nih.gov/EnvironmentalProtection/WasteDisposal/Documents/NIH-Waste-Disposal-Guide-2022-508Ready.pdf</w:t>
        </w:r>
      </w:hyperlink>
    </w:p>
    <w:p w14:paraId="4EE2381A" w14:textId="77777777" w:rsidR="00CE79A5" w:rsidRPr="00CE79A5" w:rsidRDefault="00CE79A5" w:rsidP="00710DAC">
      <w:pPr>
        <w:spacing w:before="100" w:beforeAutospacing="1" w:after="100" w:afterAutospacing="1"/>
        <w:rPr>
          <w:rFonts w:cs="Arial"/>
        </w:rPr>
      </w:pPr>
    </w:p>
    <w:p w14:paraId="6E0E7F6F" w14:textId="77777777" w:rsidR="00511D1E" w:rsidRDefault="00511D1E" w:rsidP="00511D1E">
      <w:pPr>
        <w:pStyle w:val="Heading2"/>
      </w:pPr>
      <w:r>
        <w:t>Liquids</w:t>
      </w:r>
      <w:bookmarkEnd w:id="21"/>
    </w:p>
    <w:p w14:paraId="383E076A" w14:textId="58AEB53C" w:rsidR="00511D1E" w:rsidRPr="00710DAC" w:rsidRDefault="00710DAC" w:rsidP="38A730F4">
      <w:pPr>
        <w:tabs>
          <w:tab w:val="left" w:pos="1800"/>
        </w:tabs>
        <w:rPr>
          <w:rFonts w:cs="Arial"/>
        </w:rPr>
      </w:pPr>
      <w:r w:rsidRPr="38A730F4">
        <w:rPr>
          <w:rFonts w:cs="Arial"/>
        </w:rPr>
        <w:t>Durable, leak-proof containers must be used to hold liquid waste. Liquids are decontaminated by adding household bleach (5.25% hypochlorite solution) diluted to a final concentration of 0.525% (e.g.</w:t>
      </w:r>
      <w:r w:rsidR="009B2D79">
        <w:rPr>
          <w:rFonts w:cs="Arial"/>
        </w:rPr>
        <w:t>,</w:t>
      </w:r>
      <w:r w:rsidRPr="38A730F4">
        <w:rPr>
          <w:rFonts w:cs="Arial"/>
        </w:rPr>
        <w:t xml:space="preserve"> 1:10 solution). Other appropriate disinfectants may be used at the concentration recommended by the manufacturer. Allow to stand for at least twenty minutes or the recommended time, whichever is greater.  Pour decontaminated liquid into a properly labeled chemical waste container. Biological waste that has been decontaminated can NO LONGER be poured into the sink.</w:t>
      </w:r>
    </w:p>
    <w:p w14:paraId="3EAF4912" w14:textId="77777777" w:rsidR="00511D1E" w:rsidRDefault="00511D1E" w:rsidP="00511D1E">
      <w:pPr>
        <w:pStyle w:val="Heading2"/>
      </w:pPr>
      <w:bookmarkStart w:id="22" w:name="_Toc47685034"/>
      <w:r w:rsidRPr="00511D1E">
        <w:lastRenderedPageBreak/>
        <w:t>Sharps</w:t>
      </w:r>
      <w:bookmarkEnd w:id="22"/>
      <w:r w:rsidRPr="00511D1E">
        <w:t xml:space="preserve"> </w:t>
      </w:r>
    </w:p>
    <w:p w14:paraId="18F3AA56" w14:textId="057B3381" w:rsidR="00710DAC" w:rsidRPr="00286C80" w:rsidRDefault="00710DAC" w:rsidP="00710DAC">
      <w:pPr>
        <w:tabs>
          <w:tab w:val="left" w:pos="1800"/>
        </w:tabs>
        <w:rPr>
          <w:rFonts w:cs="Arial"/>
          <w:color w:val="000000"/>
        </w:rPr>
      </w:pPr>
      <w:r w:rsidRPr="00286C80">
        <w:rPr>
          <w:rFonts w:cs="Arial"/>
        </w:rPr>
        <w:t>Sharps include</w:t>
      </w:r>
      <w:r w:rsidRPr="00286C80">
        <w:rPr>
          <w:rFonts w:cs="Arial"/>
          <w:b/>
        </w:rPr>
        <w:t xml:space="preserve"> </w:t>
      </w:r>
      <w:r w:rsidRPr="00286C80">
        <w:rPr>
          <w:rFonts w:cs="Arial"/>
          <w:color w:val="000000"/>
        </w:rPr>
        <w:t>needles, syringes with attached needles, scalpel blades</w:t>
      </w:r>
      <w:r w:rsidRPr="00286C80">
        <w:rPr>
          <w:rFonts w:cs="Arial"/>
        </w:rPr>
        <w:t xml:space="preserve">, scissors, lancets, guidewires, contaminated glass </w:t>
      </w:r>
      <w:proofErr w:type="spellStart"/>
      <w:r w:rsidRPr="00286C80">
        <w:rPr>
          <w:rFonts w:cs="Arial"/>
        </w:rPr>
        <w:t>pasteur</w:t>
      </w:r>
      <w:proofErr w:type="spellEnd"/>
      <w:r w:rsidRPr="00286C80">
        <w:rPr>
          <w:rFonts w:cs="Arial"/>
        </w:rPr>
        <w:t xml:space="preserve"> pipettes, etc</w:t>
      </w:r>
      <w:r w:rsidRPr="00286C80">
        <w:rPr>
          <w:rFonts w:cs="Arial"/>
          <w:color w:val="000000"/>
        </w:rPr>
        <w:t xml:space="preserve">.  </w:t>
      </w:r>
      <w:r w:rsidRPr="00286C80">
        <w:rPr>
          <w:rFonts w:cs="Arial"/>
        </w:rPr>
        <w:t xml:space="preserve">Disposable sharps must be placed in a proper </w:t>
      </w:r>
      <w:proofErr w:type="gramStart"/>
      <w:r w:rsidRPr="00286C80">
        <w:rPr>
          <w:rFonts w:cs="Arial"/>
        </w:rPr>
        <w:t>sharps</w:t>
      </w:r>
      <w:proofErr w:type="gramEnd"/>
      <w:r w:rsidRPr="00286C80">
        <w:rPr>
          <w:rFonts w:cs="Arial"/>
        </w:rPr>
        <w:t xml:space="preserve"> container immediately after use. Approved sharps containers are available from the NIH Self-Service Supply Store. Sharps containers must </w:t>
      </w:r>
      <w:proofErr w:type="gramStart"/>
      <w:r w:rsidRPr="00286C80">
        <w:rPr>
          <w:rFonts w:cs="Arial"/>
        </w:rPr>
        <w:t>be located in</w:t>
      </w:r>
      <w:proofErr w:type="gramEnd"/>
      <w:r w:rsidRPr="00286C80">
        <w:rPr>
          <w:rFonts w:cs="Arial"/>
        </w:rPr>
        <w:t xml:space="preserve"> the immediate area where sharps are used. When the sharps container is ¾ full, close it and place it in an MPW box for disposal. </w:t>
      </w:r>
    </w:p>
    <w:p w14:paraId="55DACA3D" w14:textId="478B9D8F" w:rsidR="00511D1E" w:rsidRDefault="00511D1E" w:rsidP="00511D1E">
      <w:r>
        <w:t xml:space="preserve">NOTE: </w:t>
      </w:r>
      <w:r w:rsidR="003E73B7">
        <w:t>Since</w:t>
      </w:r>
      <w:r>
        <w:t xml:space="preserve"> 2019</w:t>
      </w:r>
      <w:r w:rsidR="27573096">
        <w:t>,</w:t>
      </w:r>
      <w:r>
        <w:t xml:space="preserve"> we </w:t>
      </w:r>
      <w:r w:rsidR="003E73B7">
        <w:t>have been</w:t>
      </w:r>
      <w:r>
        <w:t xml:space="preserve"> asking that sharps containers be autoclaved without the autoclave bags. It was found that needles can and do protrude from the containers when they are autoclaved. It is thought that the bags will obscure the sharps hazard making movement to an MPW box more hazardous.  </w:t>
      </w:r>
    </w:p>
    <w:p w14:paraId="458D5D01" w14:textId="77777777" w:rsidR="00511D1E" w:rsidRDefault="00511D1E" w:rsidP="00511D1E"/>
    <w:p w14:paraId="5B35B6D8" w14:textId="77777777" w:rsidR="00511D1E" w:rsidRDefault="00511D1E" w:rsidP="00511D1E">
      <w:pPr>
        <w:pStyle w:val="Heading2"/>
      </w:pPr>
      <w:r>
        <w:t xml:space="preserve">Solid Wastes </w:t>
      </w:r>
    </w:p>
    <w:p w14:paraId="11B96B77" w14:textId="1BC1F55D" w:rsidR="005C7786" w:rsidRDefault="005C7786" w:rsidP="005C7786">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4"/>
        </w:rPr>
      </w:pPr>
      <w:r>
        <w:rPr>
          <w:rFonts w:cs="Arial"/>
          <w:szCs w:val="24"/>
        </w:rPr>
        <w:t>S</w:t>
      </w:r>
      <w:r w:rsidRPr="00F32A5A">
        <w:rPr>
          <w:rFonts w:cs="Arial"/>
          <w:szCs w:val="24"/>
        </w:rPr>
        <w:t xml:space="preserve">olid infectious waste may be disposed of </w:t>
      </w:r>
      <w:r>
        <w:rPr>
          <w:rFonts w:cs="Arial"/>
          <w:szCs w:val="24"/>
        </w:rPr>
        <w:t>as MPW.</w:t>
      </w:r>
      <w:r w:rsidRPr="00F32A5A">
        <w:rPr>
          <w:rFonts w:cs="Arial"/>
          <w:szCs w:val="24"/>
        </w:rPr>
        <w:t xml:space="preserve"> </w:t>
      </w:r>
      <w:r>
        <w:rPr>
          <w:rFonts w:cs="Arial"/>
          <w:szCs w:val="24"/>
        </w:rPr>
        <w:t>MPW boxes</w:t>
      </w:r>
      <w:r w:rsidRPr="00F32A5A">
        <w:rPr>
          <w:rFonts w:cs="Arial"/>
          <w:szCs w:val="24"/>
        </w:rPr>
        <w:t xml:space="preserve"> are available from the </w:t>
      </w:r>
      <w:r>
        <w:rPr>
          <w:rFonts w:cs="Arial"/>
          <w:szCs w:val="24"/>
        </w:rPr>
        <w:t>NIH</w:t>
      </w:r>
      <w:r w:rsidRPr="00F32A5A">
        <w:rPr>
          <w:rFonts w:cs="Arial"/>
          <w:szCs w:val="24"/>
        </w:rPr>
        <w:t xml:space="preserve"> </w:t>
      </w:r>
      <w:r>
        <w:rPr>
          <w:rFonts w:cs="Arial"/>
          <w:szCs w:val="24"/>
        </w:rPr>
        <w:t>Self-service Store</w:t>
      </w:r>
      <w:r w:rsidRPr="00F32A5A">
        <w:rPr>
          <w:rFonts w:cs="Arial"/>
          <w:szCs w:val="24"/>
        </w:rPr>
        <w:t xml:space="preserve">. </w:t>
      </w:r>
      <w:r>
        <w:rPr>
          <w:rFonts w:cs="Arial"/>
          <w:szCs w:val="24"/>
        </w:rPr>
        <w:t>These boxes</w:t>
      </w:r>
      <w:r w:rsidRPr="00F32A5A">
        <w:rPr>
          <w:rFonts w:cs="Arial"/>
          <w:szCs w:val="24"/>
        </w:rPr>
        <w:t xml:space="preserve"> must be </w:t>
      </w:r>
      <w:r>
        <w:rPr>
          <w:rFonts w:cs="Arial"/>
          <w:szCs w:val="24"/>
        </w:rPr>
        <w:t xml:space="preserve">double </w:t>
      </w:r>
      <w:r w:rsidRPr="00F32A5A">
        <w:rPr>
          <w:rFonts w:cs="Arial"/>
          <w:szCs w:val="24"/>
        </w:rPr>
        <w:t xml:space="preserve">lined with </w:t>
      </w:r>
      <w:r>
        <w:rPr>
          <w:rFonts w:cs="Arial"/>
          <w:szCs w:val="24"/>
        </w:rPr>
        <w:t xml:space="preserve">the supplied plastic bags. Once an MPW box </w:t>
      </w:r>
      <w:r w:rsidRPr="00F32A5A">
        <w:rPr>
          <w:rFonts w:cs="Arial"/>
          <w:szCs w:val="24"/>
        </w:rPr>
        <w:t>is full,</w:t>
      </w:r>
      <w:r>
        <w:rPr>
          <w:rFonts w:cs="Arial"/>
          <w:szCs w:val="24"/>
        </w:rPr>
        <w:t xml:space="preserve"> each bag must be individually closed and securely tied.</w:t>
      </w:r>
      <w:r w:rsidRPr="00F32A5A">
        <w:rPr>
          <w:rFonts w:cs="Arial"/>
          <w:szCs w:val="24"/>
        </w:rPr>
        <w:t xml:space="preserve"> </w:t>
      </w:r>
      <w:r>
        <w:rPr>
          <w:rFonts w:cs="Arial"/>
          <w:szCs w:val="24"/>
        </w:rPr>
        <w:t>T</w:t>
      </w:r>
      <w:r w:rsidRPr="00F32A5A">
        <w:rPr>
          <w:rFonts w:cs="Arial"/>
          <w:szCs w:val="24"/>
        </w:rPr>
        <w:t>he top</w:t>
      </w:r>
      <w:r>
        <w:rPr>
          <w:rFonts w:cs="Arial"/>
          <w:szCs w:val="24"/>
        </w:rPr>
        <w:t xml:space="preserve"> of the box</w:t>
      </w:r>
      <w:r w:rsidRPr="00F32A5A">
        <w:rPr>
          <w:rFonts w:cs="Arial"/>
          <w:szCs w:val="24"/>
        </w:rPr>
        <w:t xml:space="preserve"> must be taped closed and labeled with the generator’s name, building, room number, phone extension and date. </w:t>
      </w:r>
      <w:r>
        <w:rPr>
          <w:rFonts w:cs="Arial"/>
          <w:szCs w:val="24"/>
        </w:rPr>
        <w:t>MPW boxe</w:t>
      </w:r>
      <w:r w:rsidRPr="00F32A5A">
        <w:rPr>
          <w:rFonts w:cs="Arial"/>
          <w:szCs w:val="24"/>
        </w:rPr>
        <w:t xml:space="preserve">s are either </w:t>
      </w:r>
      <w:r>
        <w:rPr>
          <w:rFonts w:cs="Arial"/>
          <w:szCs w:val="24"/>
        </w:rPr>
        <w:t>picked up</w:t>
      </w:r>
      <w:r w:rsidRPr="00F32A5A">
        <w:rPr>
          <w:rFonts w:cs="Arial"/>
          <w:szCs w:val="24"/>
        </w:rPr>
        <w:t xml:space="preserve"> by </w:t>
      </w:r>
      <w:r>
        <w:rPr>
          <w:rFonts w:cs="Arial"/>
          <w:szCs w:val="24"/>
        </w:rPr>
        <w:t>the Division of Environmental Protection (DEP)</w:t>
      </w:r>
      <w:r w:rsidRPr="00EF7F8D">
        <w:rPr>
          <w:rFonts w:cs="Arial"/>
          <w:szCs w:val="24"/>
        </w:rPr>
        <w:t xml:space="preserve"> </w:t>
      </w:r>
      <w:r w:rsidRPr="00F32A5A">
        <w:rPr>
          <w:rFonts w:cs="Arial"/>
          <w:szCs w:val="24"/>
        </w:rPr>
        <w:t xml:space="preserve">or </w:t>
      </w:r>
      <w:r>
        <w:rPr>
          <w:rFonts w:cs="Arial"/>
          <w:szCs w:val="24"/>
        </w:rPr>
        <w:t xml:space="preserve">are </w:t>
      </w:r>
      <w:r w:rsidRPr="00F32A5A">
        <w:rPr>
          <w:rFonts w:cs="Arial"/>
          <w:szCs w:val="24"/>
        </w:rPr>
        <w:t xml:space="preserve">brought to </w:t>
      </w:r>
      <w:r>
        <w:rPr>
          <w:rFonts w:cs="Arial"/>
          <w:szCs w:val="24"/>
        </w:rPr>
        <w:t xml:space="preserve">a central marshalling area in your building (contact DEP for </w:t>
      </w:r>
      <w:r w:rsidRPr="00F32A5A">
        <w:rPr>
          <w:rFonts w:cs="Arial"/>
          <w:szCs w:val="24"/>
        </w:rPr>
        <w:t>information on this location)</w:t>
      </w:r>
      <w:r>
        <w:rPr>
          <w:rFonts w:cs="Arial"/>
          <w:szCs w:val="24"/>
        </w:rPr>
        <w:t xml:space="preserve">. </w:t>
      </w:r>
    </w:p>
    <w:p w14:paraId="115C5E45" w14:textId="47E49BAA" w:rsidR="005C7786" w:rsidRDefault="005C7786" w:rsidP="005C7786">
      <w:pPr>
        <w:tabs>
          <w:tab w:val="left" w:pos="-1440"/>
          <w:tab w:val="left" w:pos="-720"/>
          <w:tab w:val="left" w:pos="1"/>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4"/>
        </w:rPr>
      </w:pPr>
      <w:r>
        <w:rPr>
          <w:rFonts w:cs="Arial"/>
          <w:szCs w:val="24"/>
        </w:rPr>
        <w:t>Alternatively, s</w:t>
      </w:r>
      <w:r w:rsidRPr="00F32A5A">
        <w:rPr>
          <w:rFonts w:cs="Arial"/>
          <w:szCs w:val="24"/>
        </w:rPr>
        <w:t xml:space="preserve">olid infectious waste material (other than sharps) </w:t>
      </w:r>
      <w:r>
        <w:rPr>
          <w:rFonts w:cs="Arial"/>
          <w:szCs w:val="24"/>
        </w:rPr>
        <w:t>may be autoclaved in autoclavable</w:t>
      </w:r>
      <w:r w:rsidRPr="00F32A5A">
        <w:rPr>
          <w:rFonts w:cs="Arial"/>
          <w:szCs w:val="24"/>
        </w:rPr>
        <w:t xml:space="preserve"> bags and then disposed of as regular trash. </w:t>
      </w:r>
      <w:r>
        <w:rPr>
          <w:rFonts w:cs="Arial"/>
          <w:szCs w:val="24"/>
        </w:rPr>
        <w:t>If the lab waste contains BSL 2/3 agents, autoclaved waste must then be disposed of as MPW</w:t>
      </w:r>
      <w:r w:rsidR="003E73B7">
        <w:rPr>
          <w:rFonts w:cs="Arial"/>
          <w:szCs w:val="24"/>
        </w:rPr>
        <w:t xml:space="preserve"> (double decontaminated)</w:t>
      </w:r>
      <w:r>
        <w:rPr>
          <w:rFonts w:cs="Arial"/>
          <w:szCs w:val="24"/>
        </w:rPr>
        <w:t xml:space="preserve">. </w:t>
      </w:r>
      <w:r w:rsidRPr="00F32A5A">
        <w:rPr>
          <w:rFonts w:cs="Arial"/>
          <w:szCs w:val="24"/>
        </w:rPr>
        <w:t xml:space="preserve">The outside of receptacles containing the autoclave bag </w:t>
      </w:r>
      <w:r>
        <w:rPr>
          <w:rFonts w:cs="Arial"/>
          <w:szCs w:val="24"/>
        </w:rPr>
        <w:t>are to</w:t>
      </w:r>
      <w:r w:rsidRPr="00F32A5A">
        <w:rPr>
          <w:rFonts w:cs="Arial"/>
          <w:szCs w:val="24"/>
        </w:rPr>
        <w:t xml:space="preserve"> be marked with the biohazard symbol until processing has been completed. </w:t>
      </w:r>
    </w:p>
    <w:p w14:paraId="125C53DE" w14:textId="03045A15" w:rsidR="00AE6ACE" w:rsidRDefault="00AE6ACE" w:rsidP="00AE6ACE">
      <w:pPr>
        <w:pStyle w:val="Heading2"/>
      </w:pPr>
      <w:r>
        <w:t>Animal Carcasses</w:t>
      </w:r>
    </w:p>
    <w:p w14:paraId="02309BA8" w14:textId="03C7E1D2" w:rsidR="00AE6ACE" w:rsidRPr="00001D7E" w:rsidRDefault="00AE6ACE" w:rsidP="38A730F4">
      <w:pPr>
        <w:tabs>
          <w:tab w:val="left" w:pos="1440"/>
          <w:tab w:val="left" w:pos="1800"/>
        </w:tabs>
        <w:rPr>
          <w:rFonts w:cs="Arial"/>
        </w:rPr>
      </w:pPr>
      <w:r w:rsidRPr="38A730F4">
        <w:rPr>
          <w:rFonts w:cs="Arial"/>
        </w:rPr>
        <w:t>Research</w:t>
      </w:r>
      <w:r w:rsidRPr="38A730F4">
        <w:rPr>
          <w:rFonts w:cs="Arial"/>
          <w:b/>
          <w:bCs/>
        </w:rPr>
        <w:t xml:space="preserve"> </w:t>
      </w:r>
      <w:r w:rsidRPr="38A730F4">
        <w:rPr>
          <w:rFonts w:cs="Arial"/>
        </w:rPr>
        <w:t xml:space="preserve">animal carcasses that have been infected with organisms likely to be pathogenic to healthy humans, inoculated with human-derived materials, or are otherwise handled in ABSL-2 conditions must be properly disposed of in accordance with policies/procedures established by your </w:t>
      </w:r>
      <w:r w:rsidR="003E73B7" w:rsidRPr="38A730F4">
        <w:rPr>
          <w:rFonts w:cs="Arial"/>
        </w:rPr>
        <w:t>animal</w:t>
      </w:r>
      <w:r w:rsidRPr="38A730F4">
        <w:rPr>
          <w:rFonts w:cs="Arial"/>
        </w:rPr>
        <w:t xml:space="preserve"> facility. Similarly, non-infected animal carcasses must be put in appropriate bags and placed in designated freezers or areas of the vivarium. Contact the Division of Occupational Health and Safety (301-496-2346) for additional information and guidance. </w:t>
      </w:r>
    </w:p>
    <w:p w14:paraId="03C360C0" w14:textId="77777777" w:rsidR="00CA7447" w:rsidRPr="00CA7447" w:rsidRDefault="00CA7447" w:rsidP="00CA7447"/>
    <w:p w14:paraId="58D7A7F5" w14:textId="77777777" w:rsidR="00C6675D" w:rsidRDefault="00C6675D" w:rsidP="0080072F">
      <w:pPr>
        <w:pStyle w:val="Heading1"/>
      </w:pPr>
      <w:bookmarkStart w:id="23" w:name="_Toc47685037"/>
    </w:p>
    <w:p w14:paraId="79636210" w14:textId="1A62BC1F" w:rsidR="0080072F" w:rsidRDefault="0080072F" w:rsidP="0080072F">
      <w:pPr>
        <w:pStyle w:val="Heading1"/>
      </w:pPr>
      <w:r>
        <w:t>Proper Use of a Biological Safety Cabinet</w:t>
      </w:r>
      <w:bookmarkEnd w:id="23"/>
    </w:p>
    <w:p w14:paraId="74B6087B" w14:textId="77777777" w:rsidR="00875993" w:rsidRDefault="00875993" w:rsidP="00875993"/>
    <w:p w14:paraId="06703C84" w14:textId="2D9A98A3" w:rsidR="00875993" w:rsidRDefault="003E73B7" w:rsidP="00875993">
      <w:r>
        <w:t>Please watch this</w:t>
      </w:r>
      <w:r w:rsidR="00875993">
        <w:t xml:space="preserve"> NIH video to review important principals regarding use of the BSC.</w:t>
      </w:r>
    </w:p>
    <w:p w14:paraId="1ACE41BD" w14:textId="32E32DF9" w:rsidR="00875993" w:rsidRDefault="00D87A22" w:rsidP="00875993">
      <w:pPr>
        <w:rPr>
          <w:rStyle w:val="Hyperlink"/>
          <w:rFonts w:cs="Arial"/>
          <w:shd w:val="clear" w:color="auto" w:fill="FFFFFF"/>
        </w:rPr>
      </w:pPr>
      <w:hyperlink r:id="rId18" w:tgtFrame="_blank" w:tooltip="Biological Safety Cabinet: How It Works To Protect You " w:history="1">
        <w:r w:rsidR="009F21E9">
          <w:rPr>
            <w:rStyle w:val="Hyperlink"/>
            <w:rFonts w:cs="Arial"/>
            <w:shd w:val="clear" w:color="auto" w:fill="FFFFFF"/>
          </w:rPr>
          <w:t xml:space="preserve">Biological Safety Cabinet: How It Works </w:t>
        </w:r>
        <w:r w:rsidR="00851C7F">
          <w:rPr>
            <w:rStyle w:val="Hyperlink"/>
            <w:rFonts w:cs="Arial"/>
            <w:shd w:val="clear" w:color="auto" w:fill="FFFFFF"/>
          </w:rPr>
          <w:t>to</w:t>
        </w:r>
        <w:r w:rsidR="009F21E9">
          <w:rPr>
            <w:rStyle w:val="Hyperlink"/>
            <w:rFonts w:cs="Arial"/>
            <w:shd w:val="clear" w:color="auto" w:fill="FFFFFF"/>
          </w:rPr>
          <w:t xml:space="preserve"> Protect You</w:t>
        </w:r>
      </w:hyperlink>
    </w:p>
    <w:p w14:paraId="2D98C94A" w14:textId="596ED640" w:rsidR="00C1436C" w:rsidRDefault="00C1436C" w:rsidP="00875993">
      <w:pPr>
        <w:rPr>
          <w:rStyle w:val="Hyperlink"/>
          <w:rFonts w:cs="Arial"/>
          <w:shd w:val="clear" w:color="auto" w:fill="FFFFFF"/>
        </w:rPr>
      </w:pPr>
    </w:p>
    <w:p w14:paraId="7FDE560C" w14:textId="3B559DB7" w:rsidR="00C1436C" w:rsidRPr="00513E60" w:rsidRDefault="00C1436C" w:rsidP="38A730F4">
      <w:pPr>
        <w:spacing w:before="120" w:after="120"/>
        <w:rPr>
          <w:rFonts w:cs="Arial"/>
          <w:strike/>
        </w:rPr>
      </w:pPr>
      <w:r w:rsidRPr="38A730F4">
        <w:rPr>
          <w:rFonts w:cs="Arial"/>
        </w:rPr>
        <w:lastRenderedPageBreak/>
        <w:t>Biological Safety Cabinets (BSC) must be certified annually.  Biological safety cabinets are maintained and certified according to the National Sanitation Foundation Standard 49, which is the accepted standard for the biological safety cabinet industry. Various tests are performed to verify air flows, air filter integrity, containment of contaminated cabinet air, and that the cabinet is safe to operate regarding other cabinet operational features. Prior to moving cabinets, performing internal repairs, or replacing filters</w:t>
      </w:r>
      <w:r w:rsidR="6CE9740D" w:rsidRPr="38A730F4">
        <w:rPr>
          <w:rFonts w:cs="Arial"/>
        </w:rPr>
        <w:t>,</w:t>
      </w:r>
      <w:r w:rsidRPr="38A730F4">
        <w:rPr>
          <w:rFonts w:cs="Arial"/>
        </w:rPr>
        <w:t xml:space="preserve"> BSCs must first be decontaminated. To arrange for decontamination, contact the DOHS Technical Assistance Branch at (301) 496-3353 or (301) 496-3457.</w:t>
      </w:r>
    </w:p>
    <w:p w14:paraId="0F97FB0E" w14:textId="77777777" w:rsidR="00C1436C" w:rsidRPr="00F32A5A" w:rsidRDefault="00C1436C" w:rsidP="00C1436C">
      <w:pPr>
        <w:rPr>
          <w:rFonts w:cs="Arial"/>
        </w:rPr>
      </w:pPr>
    </w:p>
    <w:p w14:paraId="548702C1" w14:textId="33F14F26" w:rsidR="00C1436C" w:rsidRPr="00C611CC" w:rsidRDefault="00C1436C" w:rsidP="00C6675D">
      <w:pPr>
        <w:numPr>
          <w:ilvl w:val="0"/>
          <w:numId w:val="17"/>
        </w:numPr>
        <w:tabs>
          <w:tab w:val="num" w:pos="720"/>
        </w:tabs>
        <w:spacing w:after="0" w:line="276" w:lineRule="auto"/>
        <w:ind w:left="720"/>
        <w:rPr>
          <w:rFonts w:cs="Arial"/>
        </w:rPr>
      </w:pPr>
      <w:r w:rsidRPr="38A730F4">
        <w:rPr>
          <w:rFonts w:cs="Arial"/>
        </w:rPr>
        <w:t xml:space="preserve">Although biosafety cabinets are designed to be operated 24 hours a day, blowers may be turned off at the end of the </w:t>
      </w:r>
      <w:r w:rsidR="00722064" w:rsidRPr="38A730F4">
        <w:rPr>
          <w:rFonts w:cs="Arial"/>
        </w:rPr>
        <w:t>workday</w:t>
      </w:r>
      <w:r w:rsidRPr="38A730F4">
        <w:rPr>
          <w:rFonts w:cs="Arial"/>
        </w:rPr>
        <w:t>, after decontaminating surfaces with an appropriate disinfectant.</w:t>
      </w:r>
    </w:p>
    <w:p w14:paraId="5A818891" w14:textId="6FB309F0" w:rsidR="00C1436C" w:rsidRPr="00C611CC" w:rsidRDefault="00C1436C" w:rsidP="00C6675D">
      <w:pPr>
        <w:numPr>
          <w:ilvl w:val="0"/>
          <w:numId w:val="17"/>
        </w:numPr>
        <w:tabs>
          <w:tab w:val="num" w:pos="720"/>
        </w:tabs>
        <w:spacing w:after="0" w:line="276" w:lineRule="auto"/>
        <w:ind w:left="720"/>
        <w:rPr>
          <w:rFonts w:cs="Arial"/>
        </w:rPr>
      </w:pPr>
      <w:r w:rsidRPr="38A730F4">
        <w:rPr>
          <w:rFonts w:cs="Arial"/>
        </w:rPr>
        <w:t xml:space="preserve">When restarting the blower, allow </w:t>
      </w:r>
      <w:r w:rsidR="00722064">
        <w:rPr>
          <w:rFonts w:cs="Arial"/>
        </w:rPr>
        <w:t>15</w:t>
      </w:r>
      <w:r w:rsidRPr="38A730F4">
        <w:rPr>
          <w:rFonts w:cs="Arial"/>
        </w:rPr>
        <w:t xml:space="preserve"> minutes before beginning work to purge airborne contaminants and to stabilize the operation of the fan.</w:t>
      </w:r>
    </w:p>
    <w:p w14:paraId="36611671" w14:textId="77777777" w:rsidR="00C1436C" w:rsidRPr="00C611CC" w:rsidRDefault="00C1436C" w:rsidP="00C6675D">
      <w:pPr>
        <w:pStyle w:val="BodyTextIndent"/>
        <w:numPr>
          <w:ilvl w:val="0"/>
          <w:numId w:val="17"/>
        </w:numPr>
        <w:tabs>
          <w:tab w:val="num" w:pos="720"/>
        </w:tabs>
        <w:spacing w:after="0" w:line="276" w:lineRule="auto"/>
        <w:ind w:left="720"/>
        <w:rPr>
          <w:rFonts w:cs="Arial"/>
        </w:rPr>
      </w:pPr>
      <w:r w:rsidRPr="38A730F4">
        <w:rPr>
          <w:rFonts w:cs="Arial"/>
        </w:rPr>
        <w:t>When working in a BSC, minimize other activities in the room (e.g., rapid movement, open/closing room doors, etc.) to avoid disrupting the cabinet air barrier.</w:t>
      </w:r>
    </w:p>
    <w:p w14:paraId="45A6B8E1" w14:textId="2C18F08A" w:rsidR="00C1436C" w:rsidRPr="00C611CC" w:rsidRDefault="00C1436C" w:rsidP="00C6675D">
      <w:pPr>
        <w:numPr>
          <w:ilvl w:val="0"/>
          <w:numId w:val="17"/>
        </w:numPr>
        <w:tabs>
          <w:tab w:val="num" w:pos="720"/>
        </w:tabs>
        <w:spacing w:after="0" w:line="276" w:lineRule="auto"/>
        <w:ind w:left="720"/>
        <w:rPr>
          <w:rFonts w:cs="Arial"/>
        </w:rPr>
      </w:pPr>
      <w:r w:rsidRPr="38A730F4">
        <w:rPr>
          <w:rFonts w:cs="Arial"/>
        </w:rPr>
        <w:t>Buttoned laboratory coats must be worn over street clothes; gloves must be worn to provide hand protection. Manipulation of biological agents in a BSL-2/3 laboratory requires a wrap-around or solid front gown, preferably liquid-resistant.</w:t>
      </w:r>
    </w:p>
    <w:p w14:paraId="280F62B0" w14:textId="6F8F98EE" w:rsidR="00C1436C" w:rsidRPr="00C611CC" w:rsidRDefault="00C1436C" w:rsidP="00C6675D">
      <w:pPr>
        <w:numPr>
          <w:ilvl w:val="0"/>
          <w:numId w:val="17"/>
        </w:numPr>
        <w:tabs>
          <w:tab w:val="num" w:pos="720"/>
        </w:tabs>
        <w:spacing w:after="0" w:line="276" w:lineRule="auto"/>
        <w:ind w:left="720"/>
        <w:rPr>
          <w:rFonts w:cs="Arial"/>
        </w:rPr>
      </w:pPr>
      <w:r w:rsidRPr="38A730F4">
        <w:rPr>
          <w:rFonts w:cs="Arial"/>
        </w:rPr>
        <w:t xml:space="preserve">Before beginning work, adjust the stool height so that your face is above the opening of the BSC sash. </w:t>
      </w:r>
    </w:p>
    <w:p w14:paraId="7149B055" w14:textId="6F9AE3A8" w:rsidR="00C1436C" w:rsidRPr="00C611CC" w:rsidRDefault="00C1436C" w:rsidP="00C6675D">
      <w:pPr>
        <w:numPr>
          <w:ilvl w:val="0"/>
          <w:numId w:val="17"/>
        </w:numPr>
        <w:tabs>
          <w:tab w:val="num" w:pos="720"/>
        </w:tabs>
        <w:spacing w:after="0" w:line="276" w:lineRule="auto"/>
        <w:ind w:left="720"/>
        <w:rPr>
          <w:rFonts w:cs="Arial"/>
        </w:rPr>
      </w:pPr>
      <w:r w:rsidRPr="38A730F4">
        <w:rPr>
          <w:rFonts w:cs="Arial"/>
        </w:rPr>
        <w:t xml:space="preserve">Plastic-backed absorbent toweling can be placed on the work surface (but not on the front or rear grille openings). This toweling facilitates routine cleanup and reduces splatter and aerosol formation resulting from a spill. </w:t>
      </w:r>
    </w:p>
    <w:p w14:paraId="32FEA823" w14:textId="2B7E6C99" w:rsidR="00C1436C" w:rsidRPr="00C611CC" w:rsidRDefault="00C1436C" w:rsidP="00C6675D">
      <w:pPr>
        <w:numPr>
          <w:ilvl w:val="0"/>
          <w:numId w:val="17"/>
        </w:numPr>
        <w:tabs>
          <w:tab w:val="num" w:pos="720"/>
        </w:tabs>
        <w:spacing w:after="0" w:line="276" w:lineRule="auto"/>
        <w:ind w:left="720"/>
        <w:rPr>
          <w:rFonts w:cs="Arial"/>
        </w:rPr>
      </w:pPr>
      <w:r w:rsidRPr="38A730F4">
        <w:rPr>
          <w:rFonts w:cs="Arial"/>
        </w:rPr>
        <w:t xml:space="preserve">Place required research materials in the BSC before beginning work. This is to minimize the number of arm movement air flow disruptions across the front air barrier of the cabinet. All materials should be placed as far back in the cabinet as practical (without blocking the rear air grille) toward the rear edge of the work surface and away from the front grille of the cabinet. Armrest accessories are available for prolonged work to avoid blocking airflow of the front grille and to reduce muscle strain. </w:t>
      </w:r>
    </w:p>
    <w:p w14:paraId="6E8518E9" w14:textId="72EAE86E" w:rsidR="00C1436C" w:rsidRPr="00C611CC" w:rsidRDefault="00C1436C" w:rsidP="00C6675D">
      <w:pPr>
        <w:pStyle w:val="BodyTextIndent"/>
        <w:numPr>
          <w:ilvl w:val="0"/>
          <w:numId w:val="17"/>
        </w:numPr>
        <w:tabs>
          <w:tab w:val="num" w:pos="720"/>
        </w:tabs>
        <w:spacing w:after="0" w:line="276" w:lineRule="auto"/>
        <w:ind w:left="720"/>
        <w:rPr>
          <w:rFonts w:cs="Arial"/>
        </w:rPr>
      </w:pPr>
      <w:r w:rsidRPr="38A730F4">
        <w:rPr>
          <w:rFonts w:cs="Arial"/>
        </w:rPr>
        <w:t xml:space="preserve">The front grille must also not be blocked with research notes, discarded plastic wrappers, </w:t>
      </w:r>
      <w:r w:rsidR="253D2C53" w:rsidRPr="38A730F4">
        <w:rPr>
          <w:rFonts w:cs="Arial"/>
        </w:rPr>
        <w:t>pipetting</w:t>
      </w:r>
      <w:r w:rsidRPr="38A730F4">
        <w:rPr>
          <w:rFonts w:cs="Arial"/>
        </w:rPr>
        <w:t xml:space="preserve"> devices, or any other object. </w:t>
      </w:r>
    </w:p>
    <w:p w14:paraId="03198674" w14:textId="619AB0A3" w:rsidR="00C1436C" w:rsidRPr="00C611CC" w:rsidRDefault="00C1436C" w:rsidP="00C6675D">
      <w:pPr>
        <w:numPr>
          <w:ilvl w:val="0"/>
          <w:numId w:val="17"/>
        </w:numPr>
        <w:tabs>
          <w:tab w:val="num" w:pos="720"/>
        </w:tabs>
        <w:spacing w:after="0" w:line="276" w:lineRule="auto"/>
        <w:ind w:left="720"/>
        <w:rPr>
          <w:rFonts w:cs="Arial"/>
        </w:rPr>
      </w:pPr>
      <w:r w:rsidRPr="38A730F4">
        <w:rPr>
          <w:rFonts w:cs="Arial"/>
        </w:rPr>
        <w:t>Aspirator suction flasks must contain an appropriate disinfectant, and a hydrophobic in-line filter. This combination will provide protection to the central building vacuum system or vacuum pump, as well as to the personnel servicing equipment. Inactivation of aspirated materials can be accomplished by placing sufficient chemical decontamination solution, such as a 1:10 bleach solution, into the flask to kill the microorganisms. Fresh bleach solution must be added at least once a week. Once inactivation occurs, liquid materials can be disposed of as noninfectious waste. A secondary flask is recommended to contain fluid overflow and can extend filter life.</w:t>
      </w:r>
    </w:p>
    <w:p w14:paraId="0547C186" w14:textId="241CA4FC" w:rsidR="00C1436C" w:rsidRPr="00C611CC" w:rsidRDefault="00C1436C" w:rsidP="00C6675D">
      <w:pPr>
        <w:numPr>
          <w:ilvl w:val="0"/>
          <w:numId w:val="17"/>
        </w:numPr>
        <w:tabs>
          <w:tab w:val="num" w:pos="720"/>
        </w:tabs>
        <w:spacing w:after="0" w:line="276" w:lineRule="auto"/>
        <w:ind w:left="720" w:hanging="450"/>
        <w:rPr>
          <w:rFonts w:cs="Arial"/>
        </w:rPr>
      </w:pPr>
      <w:r w:rsidRPr="38A730F4">
        <w:rPr>
          <w:rFonts w:cs="Arial"/>
        </w:rPr>
        <w:t xml:space="preserve">Horizontal pipette discard trays, containing an autoclave bag or an appropriate chemical disinfectant, should be used inside the cabinet. Upright pipette collection containers placed on the floor outside the cabinet or autoclavable biohazard collection bags taped to the outside of the cabinet should not be used. The frequent arm movement used to </w:t>
      </w:r>
      <w:r w:rsidRPr="38A730F4">
        <w:rPr>
          <w:rFonts w:cs="Arial"/>
        </w:rPr>
        <w:lastRenderedPageBreak/>
        <w:t>place objects in these containers is disruptive to the integrity of the cabinet air barrier and can compromise both personnel and product protection.</w:t>
      </w:r>
    </w:p>
    <w:p w14:paraId="2CD7D9B2" w14:textId="5918CEC2" w:rsidR="00C1436C" w:rsidRPr="00C611CC" w:rsidRDefault="00C1436C" w:rsidP="00C6675D">
      <w:pPr>
        <w:numPr>
          <w:ilvl w:val="0"/>
          <w:numId w:val="17"/>
        </w:numPr>
        <w:tabs>
          <w:tab w:val="num" w:pos="720"/>
        </w:tabs>
        <w:spacing w:after="0" w:line="276" w:lineRule="auto"/>
        <w:ind w:left="720" w:hanging="450"/>
        <w:rPr>
          <w:rFonts w:cs="Arial"/>
        </w:rPr>
      </w:pPr>
      <w:r w:rsidRPr="38A730F4">
        <w:rPr>
          <w:rFonts w:cs="Arial"/>
        </w:rPr>
        <w:t>All operations must be performed at least six (6) inches from the inside edge of the front grille.</w:t>
      </w:r>
    </w:p>
    <w:p w14:paraId="6FC74BFB" w14:textId="0677582D" w:rsidR="00C1436C" w:rsidRPr="00C611CC" w:rsidRDefault="00C1436C" w:rsidP="00C6675D">
      <w:pPr>
        <w:numPr>
          <w:ilvl w:val="0"/>
          <w:numId w:val="17"/>
        </w:numPr>
        <w:tabs>
          <w:tab w:val="num" w:pos="720"/>
        </w:tabs>
        <w:spacing w:after="0" w:line="276" w:lineRule="auto"/>
        <w:ind w:left="720" w:hanging="450"/>
        <w:rPr>
          <w:rFonts w:cs="Arial"/>
        </w:rPr>
      </w:pPr>
      <w:r w:rsidRPr="38A730F4">
        <w:rPr>
          <w:rFonts w:cs="Arial"/>
        </w:rPr>
        <w:t>Work should flow from the clean area to contaminated area across the work surface. Large items such as biohazard bags, discard pipette trays and vacuum collection flasks should be placed to one side of the cabinet.</w:t>
      </w:r>
    </w:p>
    <w:p w14:paraId="4BBAD455" w14:textId="27C0DCB1" w:rsidR="00C1436C" w:rsidRPr="00C611CC" w:rsidRDefault="00C1436C" w:rsidP="00C6675D">
      <w:pPr>
        <w:numPr>
          <w:ilvl w:val="0"/>
          <w:numId w:val="17"/>
        </w:numPr>
        <w:tabs>
          <w:tab w:val="num" w:pos="720"/>
        </w:tabs>
        <w:spacing w:after="0" w:line="276" w:lineRule="auto"/>
        <w:ind w:left="720" w:hanging="450"/>
        <w:rPr>
          <w:rFonts w:cs="Arial"/>
        </w:rPr>
      </w:pPr>
      <w:r w:rsidRPr="38A730F4">
        <w:rPr>
          <w:rFonts w:cs="Arial"/>
        </w:rPr>
        <w:t>Use of glass Pasteur pipettes is discouraged. Glass pipettes should be replaced with safer alternatives (i.e., plastic). Contact DOHS for more information on safer alternatives.</w:t>
      </w:r>
    </w:p>
    <w:p w14:paraId="59709193" w14:textId="2CDF4194" w:rsidR="00C1436C" w:rsidRPr="00C611CC" w:rsidRDefault="00C1436C" w:rsidP="00C6675D">
      <w:pPr>
        <w:numPr>
          <w:ilvl w:val="0"/>
          <w:numId w:val="17"/>
        </w:numPr>
        <w:tabs>
          <w:tab w:val="num" w:pos="720"/>
          <w:tab w:val="left" w:pos="1440"/>
        </w:tabs>
        <w:spacing w:after="0" w:line="276" w:lineRule="auto"/>
        <w:ind w:left="720" w:hanging="450"/>
        <w:rPr>
          <w:rFonts w:cs="Arial"/>
        </w:rPr>
      </w:pPr>
      <w:r w:rsidRPr="38A730F4">
        <w:rPr>
          <w:rFonts w:cs="Arial"/>
        </w:rPr>
        <w:t xml:space="preserve">Open flames (i.e., Bunsen burners) are not permitted in a biological safety cabinet. An open flame creates turbulence that disrupts the supply pattern of HEPA-filtered air and could damage the HEPA filter itself. Non-flame alternatives such as glass bead sterilizers or infrared heating devices may be used. </w:t>
      </w:r>
      <w:proofErr w:type="spellStart"/>
      <w:r w:rsidRPr="38A730F4">
        <w:rPr>
          <w:rFonts w:cs="Arial"/>
        </w:rPr>
        <w:t>Microincinerators</w:t>
      </w:r>
      <w:proofErr w:type="spellEnd"/>
      <w:r w:rsidRPr="38A730F4">
        <w:rPr>
          <w:rFonts w:cs="Arial"/>
        </w:rPr>
        <w:t xml:space="preserve"> (electric) are also a possible alternative for use in the BSC. </w:t>
      </w:r>
    </w:p>
    <w:p w14:paraId="4E8DA64B" w14:textId="0BE384FD" w:rsidR="00C1436C" w:rsidRPr="00C611CC" w:rsidRDefault="00C1436C" w:rsidP="00C6675D">
      <w:pPr>
        <w:numPr>
          <w:ilvl w:val="0"/>
          <w:numId w:val="17"/>
        </w:numPr>
        <w:tabs>
          <w:tab w:val="num" w:pos="720"/>
          <w:tab w:val="left" w:pos="1440"/>
        </w:tabs>
        <w:spacing w:after="0" w:line="276" w:lineRule="auto"/>
        <w:ind w:left="720" w:hanging="450"/>
        <w:rPr>
          <w:rFonts w:cs="Arial"/>
        </w:rPr>
      </w:pPr>
      <w:r w:rsidRPr="38A730F4">
        <w:rPr>
          <w:rFonts w:cs="Arial"/>
        </w:rPr>
        <w:t xml:space="preserve">Use of ultraviolet light (UV) in the BSC is </w:t>
      </w:r>
      <w:r w:rsidR="0924EFDA" w:rsidRPr="38A730F4">
        <w:rPr>
          <w:rFonts w:cs="Arial"/>
        </w:rPr>
        <w:t>prohibited</w:t>
      </w:r>
      <w:r w:rsidRPr="38A730F4">
        <w:rPr>
          <w:rFonts w:cs="Arial"/>
        </w:rPr>
        <w:t>. UV bulbs in the BSC must be cleaned and checked regularly as dust and debris inhibit effectiveness, and UV bulbs degrade over time. Chemical surface disinfection must be the primary means of decontaminating the BSC.</w:t>
      </w:r>
    </w:p>
    <w:p w14:paraId="2B3168AF" w14:textId="77777777" w:rsidR="00C1436C" w:rsidRPr="00C611CC" w:rsidRDefault="00C1436C" w:rsidP="00C6675D">
      <w:pPr>
        <w:numPr>
          <w:ilvl w:val="0"/>
          <w:numId w:val="17"/>
        </w:numPr>
        <w:tabs>
          <w:tab w:val="num" w:pos="720"/>
          <w:tab w:val="left" w:pos="1440"/>
        </w:tabs>
        <w:spacing w:after="0" w:line="276" w:lineRule="auto"/>
        <w:ind w:left="720" w:hanging="450"/>
        <w:rPr>
          <w:rFonts w:cs="Arial"/>
        </w:rPr>
      </w:pPr>
      <w:r w:rsidRPr="00C611CC">
        <w:rPr>
          <w:rFonts w:cs="Arial"/>
        </w:rPr>
        <w:t xml:space="preserve">BSC Clean Up: </w:t>
      </w:r>
    </w:p>
    <w:p w14:paraId="2189C875" w14:textId="09282E6B" w:rsidR="00C1436C" w:rsidRPr="00C611CC" w:rsidRDefault="00C1436C" w:rsidP="00C6675D">
      <w:pPr>
        <w:numPr>
          <w:ilvl w:val="2"/>
          <w:numId w:val="12"/>
        </w:numPr>
        <w:tabs>
          <w:tab w:val="left" w:pos="1440"/>
        </w:tabs>
        <w:spacing w:after="0" w:line="276" w:lineRule="auto"/>
        <w:ind w:left="1440"/>
        <w:rPr>
          <w:rFonts w:cs="Arial"/>
        </w:rPr>
      </w:pPr>
      <w:r w:rsidRPr="38A730F4">
        <w:rPr>
          <w:rFonts w:cs="Arial"/>
        </w:rPr>
        <w:t>Upon completion of work, the final surface decontamination of the cabinet</w:t>
      </w:r>
      <w:r w:rsidR="05585F4F" w:rsidRPr="38A730F4">
        <w:rPr>
          <w:rFonts w:cs="Arial"/>
        </w:rPr>
        <w:t xml:space="preserve"> </w:t>
      </w:r>
      <w:r w:rsidRPr="38A730F4">
        <w:rPr>
          <w:rFonts w:cs="Arial"/>
        </w:rPr>
        <w:t xml:space="preserve">must include a wipe-down of the interior surfaces. </w:t>
      </w:r>
    </w:p>
    <w:p w14:paraId="3DDC03E6" w14:textId="77777777" w:rsidR="00C1436C" w:rsidRPr="00C611CC" w:rsidRDefault="00C1436C" w:rsidP="00C6675D">
      <w:pPr>
        <w:numPr>
          <w:ilvl w:val="2"/>
          <w:numId w:val="12"/>
        </w:numPr>
        <w:tabs>
          <w:tab w:val="left" w:pos="1440"/>
        </w:tabs>
        <w:spacing w:after="0" w:line="276" w:lineRule="auto"/>
        <w:ind w:left="1440"/>
        <w:rPr>
          <w:rFonts w:cs="Arial"/>
        </w:rPr>
      </w:pPr>
      <w:r w:rsidRPr="00C611CC">
        <w:rPr>
          <w:rFonts w:cs="Arial"/>
        </w:rPr>
        <w:t>Ensure the drain valve is closed prior to beginning work so that all contaminated materials are contained within the cabinet should a large spill occur.</w:t>
      </w:r>
    </w:p>
    <w:p w14:paraId="3C8E6EC3" w14:textId="77777777" w:rsidR="00C1436C" w:rsidRPr="00C611CC" w:rsidRDefault="00C1436C" w:rsidP="00C6675D">
      <w:pPr>
        <w:numPr>
          <w:ilvl w:val="2"/>
          <w:numId w:val="12"/>
        </w:numPr>
        <w:tabs>
          <w:tab w:val="left" w:pos="1440"/>
        </w:tabs>
        <w:spacing w:after="0" w:line="276" w:lineRule="auto"/>
        <w:ind w:left="1440"/>
        <w:rPr>
          <w:rFonts w:cs="Arial"/>
        </w:rPr>
      </w:pPr>
      <w:r w:rsidRPr="00C611CC">
        <w:rPr>
          <w:rFonts w:cs="Arial"/>
        </w:rPr>
        <w:t>The tray under the BSC work surface should be thoroughly cleaned once a week, or after an overt spill, per the manufacturer’s instructions to avoid contamination issues.</w:t>
      </w:r>
    </w:p>
    <w:p w14:paraId="273457BE" w14:textId="0E3D48F1" w:rsidR="0080072F" w:rsidRDefault="00C1436C" w:rsidP="00C6675D">
      <w:pPr>
        <w:numPr>
          <w:ilvl w:val="2"/>
          <w:numId w:val="12"/>
        </w:numPr>
        <w:tabs>
          <w:tab w:val="left" w:pos="1440"/>
        </w:tabs>
        <w:spacing w:after="0" w:line="276" w:lineRule="auto"/>
        <w:ind w:left="1440"/>
        <w:rPr>
          <w:rFonts w:cs="Arial"/>
        </w:rPr>
      </w:pPr>
      <w:r w:rsidRPr="00C611CC">
        <w:rPr>
          <w:rFonts w:cs="Arial"/>
        </w:rPr>
        <w:t xml:space="preserve">Investigators must remove their gloves and gowns in a manner to prevent contamination of unprotected skin and aerosol generation and wash their hands as the final step in safe microbiological practice. </w:t>
      </w:r>
    </w:p>
    <w:p w14:paraId="602405D6" w14:textId="77777777" w:rsidR="00C1436C" w:rsidRPr="00C1436C" w:rsidRDefault="00C1436C" w:rsidP="00C1436C">
      <w:pPr>
        <w:tabs>
          <w:tab w:val="left" w:pos="1440"/>
        </w:tabs>
        <w:spacing w:after="0" w:line="240" w:lineRule="auto"/>
        <w:ind w:left="1440"/>
        <w:rPr>
          <w:rFonts w:cs="Arial"/>
        </w:rPr>
      </w:pPr>
    </w:p>
    <w:p w14:paraId="36CE04F1" w14:textId="77777777" w:rsidR="00C6675D" w:rsidRDefault="00C6675D" w:rsidP="0080072F">
      <w:pPr>
        <w:pStyle w:val="Heading1"/>
      </w:pPr>
      <w:bookmarkStart w:id="24" w:name="_Toc47685038"/>
    </w:p>
    <w:p w14:paraId="1E16E89F" w14:textId="3CAF9403" w:rsidR="0080072F" w:rsidRDefault="0080072F" w:rsidP="0080072F">
      <w:pPr>
        <w:pStyle w:val="Heading1"/>
      </w:pPr>
      <w:r>
        <w:t xml:space="preserve">Moving </w:t>
      </w:r>
      <w:r w:rsidR="00AA3458">
        <w:t>“</w:t>
      </w:r>
      <w:r>
        <w:t>Contaminated</w:t>
      </w:r>
      <w:r w:rsidR="00AA3458">
        <w:t>”</w:t>
      </w:r>
      <w:r>
        <w:t xml:space="preserve"> Equipment</w:t>
      </w:r>
      <w:bookmarkEnd w:id="24"/>
    </w:p>
    <w:p w14:paraId="0513840D" w14:textId="77777777" w:rsidR="000A76FF" w:rsidRPr="00AA3458" w:rsidRDefault="000A76FF" w:rsidP="000A76FF">
      <w:r w:rsidRPr="00AA3458">
        <w:t>Prior to relocation, all large pieces of equipment must be appropriately decontaminated and labeled with a “Certificate that Property is Free from Hazards” label completed by a person qualified to safely decontaminate the equipment. Some equipment must be serviced and packed by the manufacturer or manufacturer’s representative prior to relocation, such as HPLC equipment and ultracentrifuges.</w:t>
      </w:r>
    </w:p>
    <w:p w14:paraId="58BD9ACC" w14:textId="36E577E2" w:rsidR="000A76FF" w:rsidRPr="00AA3458" w:rsidRDefault="000A76FF" w:rsidP="000A76FF">
      <w:r w:rsidRPr="00AA3458">
        <w:t>Incubators freezers and refrigerators need to be emptied prior to being moved. The material</w:t>
      </w:r>
      <w:r w:rsidR="003E73B7">
        <w:t>s contained within</w:t>
      </w:r>
      <w:r w:rsidRPr="00AA3458">
        <w:t xml:space="preserve"> will have to be moved to a temporary unit so the equipment can be thoroughly cleaned. All water jacked incubators will need to be drained. Consult the manufacturer’s instructions for your incubator for details on how to do this.</w:t>
      </w:r>
    </w:p>
    <w:p w14:paraId="7CE86729" w14:textId="02FD761D" w:rsidR="000A76FF" w:rsidRPr="00AA3458" w:rsidRDefault="000A76FF" w:rsidP="000A76FF">
      <w:r w:rsidRPr="00AA3458">
        <w:lastRenderedPageBreak/>
        <w:t>The oil in vacuum pumps will need to be drained and disposed of through NIH Division of Environmental Protection prior to surplus.</w:t>
      </w:r>
    </w:p>
    <w:p w14:paraId="78912481" w14:textId="431015E4" w:rsidR="00AA3458" w:rsidRPr="00AA3458" w:rsidRDefault="00AA3458" w:rsidP="00AA3458">
      <w:pPr>
        <w:rPr>
          <w:rFonts w:cs="Arial"/>
        </w:rPr>
      </w:pPr>
      <w:r w:rsidRPr="00AA3458">
        <w:rPr>
          <w:rFonts w:cs="Arial"/>
        </w:rPr>
        <w:t>Since HEPA filters can be easily disturbed, BSCs also need to be recertified after they are</w:t>
      </w:r>
      <w:r w:rsidR="002F7ED6">
        <w:rPr>
          <w:rFonts w:cs="Arial"/>
        </w:rPr>
        <w:t xml:space="preserve"> </w:t>
      </w:r>
      <w:r w:rsidRPr="00AA3458">
        <w:rPr>
          <w:rFonts w:cs="Arial"/>
        </w:rPr>
        <w:t xml:space="preserve">moved. Deface biohazard symbols and affix a </w:t>
      </w:r>
      <w:r w:rsidRPr="00AA3458">
        <w:rPr>
          <w:rFonts w:cs="Arial"/>
          <w:i/>
        </w:rPr>
        <w:t>NIH Form 2683, Certification that Property is Free from Hazards</w:t>
      </w:r>
      <w:r w:rsidRPr="00AA3458">
        <w:rPr>
          <w:rFonts w:cs="Arial"/>
        </w:rPr>
        <w:t xml:space="preserve"> on the equipment before it is moved. Call DOHS (301-496-2346) or refer to the DOHS website for </w:t>
      </w:r>
      <w:hyperlink r:id="rId19" w:tgtFrame="_blank" w:tooltip="moving-your-lab-safely" w:history="1">
        <w:r w:rsidR="003E73B7" w:rsidRPr="000A0D6E">
          <w:rPr>
            <w:rFonts w:cs="Arial"/>
            <w:color w:val="2E74B5" w:themeColor="accent5" w:themeShade="BF"/>
            <w:u w:val="single"/>
            <w:shd w:val="clear" w:color="auto" w:fill="FFFFFF"/>
          </w:rPr>
          <w:t>Moving Your Lab Safely</w:t>
        </w:r>
      </w:hyperlink>
      <w:r w:rsidR="003E73B7" w:rsidRPr="00476B5C">
        <w:rPr>
          <w:rFonts w:cs="Arial"/>
          <w:shd w:val="clear" w:color="auto" w:fill="FFFFFF"/>
        </w:rPr>
        <w:t> </w:t>
      </w:r>
      <w:r w:rsidRPr="00AA3458">
        <w:rPr>
          <w:rFonts w:cs="Arial"/>
        </w:rPr>
        <w:t>for detailed instructions.</w:t>
      </w:r>
    </w:p>
    <w:p w14:paraId="50A8D8C7" w14:textId="77777777" w:rsidR="00AA3458" w:rsidRDefault="00AA3458" w:rsidP="000A76FF"/>
    <w:p w14:paraId="7ACA950A" w14:textId="7661A146" w:rsidR="0080072F" w:rsidRDefault="0080072F" w:rsidP="0080072F">
      <w:pPr>
        <w:pStyle w:val="Heading1"/>
      </w:pPr>
      <w:bookmarkStart w:id="25" w:name="_Toc47685039"/>
      <w:r>
        <w:t>Shipping Infectious Substances</w:t>
      </w:r>
      <w:r w:rsidR="001239CD">
        <w:t xml:space="preserve">, Biological </w:t>
      </w:r>
      <w:r w:rsidR="003E73B7">
        <w:t>Materials</w:t>
      </w:r>
      <w:r w:rsidR="001239CD">
        <w:t xml:space="preserve"> or Genetically Modified Organisms</w:t>
      </w:r>
      <w:bookmarkEnd w:id="25"/>
    </w:p>
    <w:p w14:paraId="5EEA1727" w14:textId="3A297822" w:rsidR="001239CD" w:rsidRPr="000011B3" w:rsidRDefault="001239CD" w:rsidP="001239CD">
      <w:pPr>
        <w:rPr>
          <w:rFonts w:cs="Arial"/>
        </w:rPr>
      </w:pPr>
      <w:r w:rsidRPr="00E353E9">
        <w:rPr>
          <w:rFonts w:cs="Arial"/>
        </w:rPr>
        <w:t xml:space="preserve">The transportation of biohazardous </w:t>
      </w:r>
      <w:r w:rsidR="003E73B7">
        <w:rPr>
          <w:rFonts w:cs="Arial"/>
        </w:rPr>
        <w:t>materials</w:t>
      </w:r>
      <w:r w:rsidRPr="00E353E9">
        <w:rPr>
          <w:rFonts w:cs="Arial"/>
        </w:rPr>
        <w:t xml:space="preserve"> is regulated by the Department of Transportation</w:t>
      </w:r>
      <w:r>
        <w:rPr>
          <w:rFonts w:cs="Arial"/>
        </w:rPr>
        <w:t xml:space="preserve"> (DOT) </w:t>
      </w:r>
      <w:r w:rsidRPr="00E353E9">
        <w:rPr>
          <w:rFonts w:cs="Arial"/>
        </w:rPr>
        <w:t>and the International Air Transport Association (IATA</w:t>
      </w:r>
      <w:r w:rsidRPr="000011B3">
        <w:rPr>
          <w:rFonts w:cs="Arial"/>
        </w:rPr>
        <w:t>). Infectious Substances according to the regulations include but are not limited to:</w:t>
      </w:r>
    </w:p>
    <w:p w14:paraId="558718FF" w14:textId="77777777" w:rsidR="001239CD" w:rsidRPr="000011B3" w:rsidRDefault="001239CD" w:rsidP="00722064">
      <w:pPr>
        <w:numPr>
          <w:ilvl w:val="0"/>
          <w:numId w:val="18"/>
        </w:numPr>
        <w:tabs>
          <w:tab w:val="clear" w:pos="1800"/>
          <w:tab w:val="num" w:pos="1080"/>
        </w:tabs>
        <w:spacing w:after="0" w:line="240" w:lineRule="auto"/>
        <w:ind w:left="1080"/>
        <w:rPr>
          <w:rFonts w:cs="Arial"/>
        </w:rPr>
      </w:pPr>
      <w:r w:rsidRPr="000011B3">
        <w:rPr>
          <w:rFonts w:cs="Arial"/>
        </w:rPr>
        <w:t>Infectious Substances affecting humans</w:t>
      </w:r>
    </w:p>
    <w:p w14:paraId="3AD6C2B5" w14:textId="77777777" w:rsidR="001239CD" w:rsidRPr="000011B3" w:rsidRDefault="001239CD" w:rsidP="00722064">
      <w:pPr>
        <w:numPr>
          <w:ilvl w:val="0"/>
          <w:numId w:val="18"/>
        </w:numPr>
        <w:tabs>
          <w:tab w:val="clear" w:pos="1800"/>
          <w:tab w:val="num" w:pos="1080"/>
        </w:tabs>
        <w:spacing w:after="0" w:line="240" w:lineRule="auto"/>
        <w:ind w:left="1080"/>
        <w:rPr>
          <w:rFonts w:cs="Arial"/>
        </w:rPr>
      </w:pPr>
      <w:r w:rsidRPr="000011B3">
        <w:rPr>
          <w:rFonts w:cs="Arial"/>
        </w:rPr>
        <w:t>Infectious Substances affecting animals</w:t>
      </w:r>
    </w:p>
    <w:p w14:paraId="5BF86BF3" w14:textId="77777777" w:rsidR="001239CD" w:rsidRPr="000011B3" w:rsidRDefault="001239CD" w:rsidP="00722064">
      <w:pPr>
        <w:numPr>
          <w:ilvl w:val="0"/>
          <w:numId w:val="18"/>
        </w:numPr>
        <w:tabs>
          <w:tab w:val="clear" w:pos="1800"/>
          <w:tab w:val="num" w:pos="1080"/>
        </w:tabs>
        <w:spacing w:after="0" w:line="240" w:lineRule="auto"/>
        <w:ind w:left="1080"/>
        <w:rPr>
          <w:rFonts w:cs="Arial"/>
        </w:rPr>
      </w:pPr>
      <w:r w:rsidRPr="000011B3">
        <w:rPr>
          <w:rFonts w:cs="Arial"/>
        </w:rPr>
        <w:t>Biological Substances (formerly Diagnostic or Clinical Specimens</w:t>
      </w:r>
      <w:r>
        <w:rPr>
          <w:rFonts w:cs="Arial"/>
        </w:rPr>
        <w:t xml:space="preserve">, i.e., </w:t>
      </w:r>
      <w:r w:rsidRPr="000011B3">
        <w:rPr>
          <w:rFonts w:cs="Arial"/>
        </w:rPr>
        <w:t>human cell lines)</w:t>
      </w:r>
    </w:p>
    <w:p w14:paraId="64522D14" w14:textId="77777777" w:rsidR="001239CD" w:rsidRDefault="001239CD" w:rsidP="00722064">
      <w:pPr>
        <w:numPr>
          <w:ilvl w:val="0"/>
          <w:numId w:val="18"/>
        </w:numPr>
        <w:tabs>
          <w:tab w:val="clear" w:pos="1800"/>
          <w:tab w:val="num" w:pos="1080"/>
        </w:tabs>
        <w:spacing w:after="0" w:line="240" w:lineRule="auto"/>
        <w:ind w:left="1080"/>
        <w:rPr>
          <w:rFonts w:cs="Arial"/>
        </w:rPr>
      </w:pPr>
      <w:r w:rsidRPr="000011B3">
        <w:rPr>
          <w:rFonts w:cs="Arial"/>
        </w:rPr>
        <w:t>Genetically Modified Organisms (GMO) and Microorganisms (GMMO)</w:t>
      </w:r>
    </w:p>
    <w:p w14:paraId="3F98565F" w14:textId="77777777" w:rsidR="001239CD" w:rsidRPr="000011B3" w:rsidRDefault="001239CD" w:rsidP="001239CD">
      <w:pPr>
        <w:tabs>
          <w:tab w:val="num" w:pos="1080"/>
        </w:tabs>
        <w:ind w:left="1080" w:hanging="360"/>
        <w:rPr>
          <w:rFonts w:cs="Arial"/>
        </w:rPr>
      </w:pPr>
    </w:p>
    <w:p w14:paraId="49A827A4" w14:textId="72EECA21" w:rsidR="001239CD" w:rsidRPr="000011B3" w:rsidRDefault="001239CD" w:rsidP="00881994">
      <w:pPr>
        <w:rPr>
          <w:rFonts w:cs="Arial"/>
          <w:i/>
          <w:szCs w:val="24"/>
        </w:rPr>
      </w:pPr>
      <w:r w:rsidRPr="0963C8EF">
        <w:rPr>
          <w:rFonts w:cs="Arial"/>
        </w:rPr>
        <w:t xml:space="preserve">NIH personnel </w:t>
      </w:r>
      <w:r w:rsidRPr="000011B3">
        <w:rPr>
          <w:rFonts w:cs="Arial"/>
          <w:iCs/>
        </w:rPr>
        <w:t xml:space="preserve">who ship any of the above must </w:t>
      </w:r>
      <w:r>
        <w:rPr>
          <w:rFonts w:cs="Arial"/>
          <w:iCs/>
        </w:rPr>
        <w:t xml:space="preserve">successfully </w:t>
      </w:r>
      <w:r w:rsidRPr="000011B3">
        <w:rPr>
          <w:rFonts w:cs="Arial"/>
          <w:iCs/>
        </w:rPr>
        <w:t>complete</w:t>
      </w:r>
      <w:r>
        <w:rPr>
          <w:rFonts w:cs="Arial"/>
        </w:rPr>
        <w:t xml:space="preserve"> the</w:t>
      </w:r>
      <w:r w:rsidRPr="000011B3">
        <w:rPr>
          <w:rFonts w:cs="Arial"/>
        </w:rPr>
        <w:t xml:space="preserve"> </w:t>
      </w:r>
      <w:r>
        <w:rPr>
          <w:rFonts w:cs="Arial"/>
        </w:rPr>
        <w:t>Shipping Biological Materials Training</w:t>
      </w:r>
      <w:r w:rsidRPr="000011B3">
        <w:rPr>
          <w:rFonts w:cs="Arial"/>
        </w:rPr>
        <w:t xml:space="preserve">. </w:t>
      </w:r>
      <w:r>
        <w:rPr>
          <w:rFonts w:cs="Arial"/>
        </w:rPr>
        <w:t xml:space="preserve">The </w:t>
      </w:r>
      <w:r w:rsidRPr="0963C8EF">
        <w:rPr>
          <w:rFonts w:cs="Arial"/>
        </w:rPr>
        <w:t>DOHS offers a regularly scheduled course for shipping. Training is valid for two years.</w:t>
      </w:r>
      <w:r w:rsidRPr="000011B3">
        <w:rPr>
          <w:rFonts w:cs="Arial"/>
        </w:rPr>
        <w:t xml:space="preserve"> If you are uncertain as to </w:t>
      </w:r>
      <w:r w:rsidR="00CB0A3E" w:rsidRPr="000011B3">
        <w:rPr>
          <w:rFonts w:cs="Arial"/>
        </w:rPr>
        <w:t>whether</w:t>
      </w:r>
      <w:r w:rsidRPr="000011B3">
        <w:rPr>
          <w:rFonts w:cs="Arial"/>
        </w:rPr>
        <w:t xml:space="preserve"> </w:t>
      </w:r>
      <w:r>
        <w:rPr>
          <w:rFonts w:cs="Arial"/>
        </w:rPr>
        <w:t>you need training</w:t>
      </w:r>
      <w:r w:rsidRPr="000011B3">
        <w:rPr>
          <w:rFonts w:cs="Arial"/>
        </w:rPr>
        <w:t xml:space="preserve"> </w:t>
      </w:r>
      <w:r>
        <w:rPr>
          <w:rFonts w:cs="Arial"/>
        </w:rPr>
        <w:t xml:space="preserve">and if the material to be </w:t>
      </w:r>
      <w:r w:rsidRPr="000011B3">
        <w:rPr>
          <w:rFonts w:cs="Arial"/>
        </w:rPr>
        <w:t>ship</w:t>
      </w:r>
      <w:r>
        <w:rPr>
          <w:rFonts w:cs="Arial"/>
        </w:rPr>
        <w:t xml:space="preserve">ped </w:t>
      </w:r>
      <w:r w:rsidRPr="000011B3">
        <w:rPr>
          <w:rFonts w:cs="Arial"/>
        </w:rPr>
        <w:t xml:space="preserve">is regulated, contact </w:t>
      </w:r>
      <w:r>
        <w:rPr>
          <w:rFonts w:cs="Arial"/>
        </w:rPr>
        <w:t>DOHS at 301-496-2346</w:t>
      </w:r>
      <w:r w:rsidRPr="000011B3">
        <w:rPr>
          <w:rFonts w:cs="Arial"/>
        </w:rPr>
        <w:t>.</w:t>
      </w:r>
    </w:p>
    <w:p w14:paraId="53058D67" w14:textId="4AA9ABB6" w:rsidR="001239CD" w:rsidRPr="00DE05B3" w:rsidRDefault="001239CD" w:rsidP="001239CD">
      <w:pPr>
        <w:pStyle w:val="BodyText"/>
        <w:rPr>
          <w:rFonts w:ascii="Arial" w:hAnsi="Arial" w:cs="Arial"/>
          <w:b w:val="0"/>
          <w:i/>
          <w:sz w:val="22"/>
          <w:szCs w:val="22"/>
        </w:rPr>
      </w:pPr>
      <w:r w:rsidRPr="00DE05B3">
        <w:rPr>
          <w:rFonts w:ascii="Arial" w:hAnsi="Arial" w:cs="Arial"/>
          <w:b w:val="0"/>
          <w:i/>
          <w:sz w:val="22"/>
          <w:szCs w:val="22"/>
        </w:rPr>
        <w:t>List Personnel trained, date of training and attach the training certificate</w:t>
      </w:r>
      <w:r w:rsidR="002F7ED6">
        <w:rPr>
          <w:rFonts w:ascii="Arial" w:hAnsi="Arial" w:cs="Arial"/>
          <w:b w:val="0"/>
          <w:i/>
          <w:sz w:val="22"/>
          <w:szCs w:val="22"/>
        </w:rPr>
        <w:t>s in</w:t>
      </w:r>
      <w:r w:rsidRPr="00DE05B3">
        <w:rPr>
          <w:rFonts w:ascii="Arial" w:hAnsi="Arial" w:cs="Arial"/>
          <w:b w:val="0"/>
          <w:i/>
          <w:sz w:val="22"/>
          <w:szCs w:val="22"/>
        </w:rPr>
        <w:t xml:space="preserve"> Appendix </w:t>
      </w:r>
      <w:r w:rsidR="00DE05B3">
        <w:rPr>
          <w:rFonts w:ascii="Arial" w:hAnsi="Arial" w:cs="Arial"/>
          <w:b w:val="0"/>
          <w:i/>
          <w:sz w:val="22"/>
          <w:szCs w:val="22"/>
        </w:rPr>
        <w:t>B</w:t>
      </w:r>
      <w:r w:rsidR="00BB61A5" w:rsidRPr="00DE05B3">
        <w:rPr>
          <w:rFonts w:ascii="Arial" w:hAnsi="Arial" w:cs="Arial"/>
          <w:b w:val="0"/>
          <w:i/>
          <w:sz w:val="22"/>
          <w:szCs w:val="22"/>
        </w:rPr>
        <w:t>.</w:t>
      </w:r>
    </w:p>
    <w:p w14:paraId="48C4984B" w14:textId="655CE00B" w:rsidR="0080072F" w:rsidRPr="00CA7447" w:rsidRDefault="0080072F" w:rsidP="0080072F">
      <w:pPr>
        <w:rPr>
          <w:b/>
          <w:bCs/>
        </w:rPr>
      </w:pPr>
    </w:p>
    <w:p w14:paraId="3913523C" w14:textId="2D150B7D" w:rsidR="0080072F" w:rsidRDefault="0080072F" w:rsidP="0080072F">
      <w:pPr>
        <w:pStyle w:val="Heading1"/>
      </w:pPr>
      <w:bookmarkStart w:id="26" w:name="_Toc47685040"/>
      <w:r>
        <w:t>Import/Export of Biological Materials</w:t>
      </w:r>
      <w:bookmarkEnd w:id="26"/>
    </w:p>
    <w:p w14:paraId="35468B3C" w14:textId="77777777" w:rsidR="009F21E9" w:rsidRDefault="009F21E9" w:rsidP="009F21E9"/>
    <w:p w14:paraId="6E58428D" w14:textId="77777777" w:rsidR="009F21E9" w:rsidRPr="009F21E9" w:rsidRDefault="009F21E9" w:rsidP="009F21E9">
      <w:r w:rsidRPr="009F21E9">
        <w:t>NIH will conform to all applicable laws and regulations for the import, transfer, and export of biological materials.</w:t>
      </w:r>
    </w:p>
    <w:p w14:paraId="4AFE1F8C" w14:textId="008DBEBF" w:rsidR="009F21E9" w:rsidRPr="009F21E9" w:rsidRDefault="009F21E9" w:rsidP="009F21E9">
      <w:r w:rsidRPr="009F21E9">
        <w:t>No person at NIH shall arrange to import or export biological materials before receiving authorization through the Division of Occupational Health and Safety (DOHS), Quarantine Permit Service Office (QPSO)</w:t>
      </w:r>
      <w:r w:rsidR="00CB0A3E">
        <w:t xml:space="preserve"> (</w:t>
      </w:r>
      <w:hyperlink r:id="rId20" w:history="1">
        <w:r w:rsidR="00CB0A3E" w:rsidRPr="009D6997">
          <w:rPr>
            <w:rStyle w:val="Hyperlink"/>
          </w:rPr>
          <w:t>https://ors.od.nih.gov/sr/dohs/safety/laboratory/BioSafety/Pages/shipping_biological_material.aspx</w:t>
        </w:r>
      </w:hyperlink>
      <w:r w:rsidR="00CB0A3E">
        <w:rPr>
          <w:rStyle w:val="Hyperlink"/>
        </w:rPr>
        <w:t>)</w:t>
      </w:r>
      <w:r w:rsidRPr="009F21E9">
        <w:t>.</w:t>
      </w:r>
    </w:p>
    <w:p w14:paraId="120D0F4F" w14:textId="77777777" w:rsidR="009F21E9" w:rsidRPr="009F21E9" w:rsidRDefault="009F21E9" w:rsidP="009F21E9">
      <w:r w:rsidRPr="009F21E9">
        <w:t>No person at NIH shall receive or transfer biological material requiring a CDC transfer permit to another laboratory or facility without prior authorization from the QPSO.</w:t>
      </w:r>
    </w:p>
    <w:p w14:paraId="1A110E30" w14:textId="77777777" w:rsidR="009F21E9" w:rsidRPr="009F21E9" w:rsidRDefault="009F21E9" w:rsidP="009F21E9">
      <w:r w:rsidRPr="009F21E9">
        <w:t>It is the policy of the NIH to ensure that all packages being offered for transport comply with all Federal and international regulations for applicable ground and air transport in order to protect the safety of laboratory and support staff, the public and the environment.</w:t>
      </w:r>
    </w:p>
    <w:p w14:paraId="1B59FBAA" w14:textId="6441560F" w:rsidR="009F21E9" w:rsidRPr="009F21E9" w:rsidRDefault="009F21E9" w:rsidP="009F21E9">
      <w:r w:rsidRPr="009F21E9">
        <w:lastRenderedPageBreak/>
        <w:t xml:space="preserve">Infectious biological agents, infectious substances, and/or vectors </w:t>
      </w:r>
      <w:r w:rsidR="006D2B85">
        <w:t xml:space="preserve">may </w:t>
      </w:r>
      <w:r w:rsidR="00AA7CC8">
        <w:rPr>
          <w:b/>
          <w:bCs/>
        </w:rPr>
        <w:t>N</w:t>
      </w:r>
      <w:r w:rsidR="00177EAD">
        <w:rPr>
          <w:b/>
          <w:bCs/>
        </w:rPr>
        <w:t>OT</w:t>
      </w:r>
      <w:r w:rsidRPr="009F21E9">
        <w:t xml:space="preserve"> be transported in a </w:t>
      </w:r>
      <w:r w:rsidR="002F7ED6" w:rsidRPr="009F21E9">
        <w:t>privately-owned</w:t>
      </w:r>
      <w:r w:rsidRPr="009F21E9">
        <w:t xml:space="preserve"> vehicle. To transport via land, a government vehicle may be used following </w:t>
      </w:r>
      <w:hyperlink r:id="rId21" w:tgtFrame="_blank" w:history="1">
        <w:r w:rsidRPr="009F21E9">
          <w:rPr>
            <w:rStyle w:val="Hyperlink"/>
          </w:rPr>
          <w:t>NIH Manual Chapter 26101-38, Official Use of Government Motor Vehicles</w:t>
        </w:r>
      </w:hyperlink>
      <w:r w:rsidRPr="009F21E9">
        <w:rPr>
          <w:u w:val="single"/>
        </w:rPr>
        <w:t>.</w:t>
      </w:r>
      <w:r w:rsidRPr="009F21E9">
        <w:t> All applicable packaging requirements established under the Department of Transportation (DOT) regulations must be followed (</w:t>
      </w:r>
      <w:hyperlink r:id="rId22" w:tgtFrame="_blank" w:history="1">
        <w:r w:rsidRPr="009F21E9">
          <w:rPr>
            <w:rStyle w:val="Hyperlink"/>
          </w:rPr>
          <w:t>49 CFR 171 - 178</w:t>
        </w:r>
      </w:hyperlink>
      <w:r w:rsidRPr="009F21E9">
        <w:t>).</w:t>
      </w:r>
    </w:p>
    <w:p w14:paraId="66187362" w14:textId="77777777" w:rsidR="009F21E9" w:rsidRPr="009F21E9" w:rsidRDefault="009F21E9" w:rsidP="009F21E9">
      <w:r w:rsidRPr="009F21E9">
        <w:t>Any person at the NIH wishing to transport infectious biological agents, infectious substances, and/or vectors via air must have the material packaged by an appropriately trained individual following IATA </w:t>
      </w:r>
      <w:r w:rsidRPr="009F21E9">
        <w:rPr>
          <w:i/>
          <w:iCs/>
        </w:rPr>
        <w:t>Dangerous Goods Regulations</w:t>
      </w:r>
      <w:r w:rsidRPr="009F21E9">
        <w:t>.</w:t>
      </w:r>
    </w:p>
    <w:p w14:paraId="530F7382" w14:textId="77777777" w:rsidR="009F21E9" w:rsidRPr="009F21E9" w:rsidRDefault="009F21E9" w:rsidP="009F21E9">
      <w:r w:rsidRPr="009F21E9">
        <w:t>All inbound and outbound shipments of biological materials must comply with </w:t>
      </w:r>
      <w:hyperlink r:id="rId23" w:tgtFrame="_blank" w:history="1">
        <w:r w:rsidRPr="009F21E9">
          <w:rPr>
            <w:rStyle w:val="Hyperlink"/>
          </w:rPr>
          <w:t>NIH Manual Chapter 26101-42-F, Shipping Policies and Procedures</w:t>
        </w:r>
      </w:hyperlink>
      <w:r w:rsidRPr="009F21E9">
        <w:t>. Further information can be obtained by contacting the Office of Logistics and Acquisitions Operations, Division of Logistics Services, Freight Forwarding Section: (301) 496-5921.</w:t>
      </w:r>
    </w:p>
    <w:p w14:paraId="12CF1434" w14:textId="3D0D13A9" w:rsidR="009F21E9" w:rsidRPr="009F21E9" w:rsidRDefault="009F21E9" w:rsidP="009F21E9">
      <w:r w:rsidRPr="009F21E9">
        <w:t>Remote NIH facilities must comply with </w:t>
      </w:r>
      <w:hyperlink r:id="rId24">
        <w:r w:rsidRPr="0963C8EF">
          <w:rPr>
            <w:rStyle w:val="Hyperlink"/>
          </w:rPr>
          <w:t>NIH Manual Chapter 26101-42-F, Shipping Policies and Procedures</w:t>
        </w:r>
      </w:hyperlink>
      <w:r w:rsidRPr="009F21E9">
        <w:t>,</w:t>
      </w:r>
      <w:r w:rsidR="00722064">
        <w:t xml:space="preserve"> </w:t>
      </w:r>
      <w:r w:rsidRPr="009F21E9">
        <w:t>and coordinate their activities with the NIH Transportation Officer to establish consistent requirements for the transport of hazardous material packages.</w:t>
      </w:r>
    </w:p>
    <w:p w14:paraId="2D46B76E" w14:textId="77777777" w:rsidR="009F21E9" w:rsidRPr="009F21E9" w:rsidRDefault="009F21E9" w:rsidP="009F21E9">
      <w:r w:rsidRPr="009F21E9">
        <w:t>All transfers of select agents and toxins must be coordinated and shipped through the site-specific Select Agent Program.</w:t>
      </w:r>
    </w:p>
    <w:p w14:paraId="0CF7B4B5" w14:textId="77777777" w:rsidR="009F21E9" w:rsidRPr="009F21E9" w:rsidRDefault="009F21E9" w:rsidP="009F21E9">
      <w:r w:rsidRPr="009F21E9">
        <w:t>All transfers of rodents, rodent products, and rodent pathogens for </w:t>
      </w:r>
      <w:r w:rsidRPr="009F21E9">
        <w:rPr>
          <w:i/>
          <w:iCs/>
        </w:rPr>
        <w:t>in vivo </w:t>
      </w:r>
      <w:r w:rsidRPr="009F21E9">
        <w:t>use must comply with </w:t>
      </w:r>
      <w:hyperlink r:id="rId25" w:tgtFrame="_blank" w:history="1">
        <w:r w:rsidRPr="009F21E9">
          <w:rPr>
            <w:rStyle w:val="Hyperlink"/>
          </w:rPr>
          <w:t>NIH Manual Chapter 3043-1, Introduction of Rodents, Rodent Products and Rodent Pathogens</w:t>
        </w:r>
      </w:hyperlink>
      <w:r w:rsidRPr="009F21E9">
        <w:t>.</w:t>
      </w:r>
    </w:p>
    <w:p w14:paraId="15DC2AA5" w14:textId="77777777" w:rsidR="009F21E9" w:rsidRPr="009F21E9" w:rsidRDefault="009F21E9" w:rsidP="009F21E9">
      <w:r w:rsidRPr="009F21E9">
        <w:t>The procurement of live nonhuman primates is outside the purview of this manual chapter. Importers must be registered with the CDC </w:t>
      </w:r>
      <w:hyperlink r:id="rId26" w:tgtFrame="_blank" w:history="1">
        <w:r w:rsidRPr="009F21E9">
          <w:rPr>
            <w:rStyle w:val="Hyperlink"/>
          </w:rPr>
          <w:t>Division of Global Migration and Quarantine</w:t>
        </w:r>
      </w:hyperlink>
      <w:r w:rsidRPr="009F21E9">
        <w:t>, follow the requirements for importers of nonhuman primates (</w:t>
      </w:r>
      <w:hyperlink r:id="rId27" w:tgtFrame="_blank" w:history="1">
        <w:r w:rsidRPr="009F21E9">
          <w:rPr>
            <w:rStyle w:val="Hyperlink"/>
          </w:rPr>
          <w:t>42 CFR 71.53)</w:t>
        </w:r>
      </w:hyperlink>
      <w:r w:rsidRPr="009F21E9">
        <w:t>, and comply with </w:t>
      </w:r>
      <w:hyperlink r:id="rId28" w:tgtFrame="_blank" w:history="1">
        <w:r w:rsidRPr="009F21E9">
          <w:rPr>
            <w:rStyle w:val="Hyperlink"/>
          </w:rPr>
          <w:t>NIH Manual Chapter 3044-1, Nonhuman Primate Quarantine</w:t>
        </w:r>
      </w:hyperlink>
      <w:r w:rsidRPr="009F21E9">
        <w:t>.</w:t>
      </w:r>
    </w:p>
    <w:p w14:paraId="3A5CB9D5" w14:textId="77777777" w:rsidR="009F21E9" w:rsidRPr="009F21E9" w:rsidRDefault="009F21E9" w:rsidP="009F21E9">
      <w:r w:rsidRPr="009F21E9">
        <w:t>The import, transfer, or export of proprietary biological material may require the completion of a Material Transfer Agreement. Applicants should contact the </w:t>
      </w:r>
      <w:hyperlink r:id="rId29" w:tgtFrame="_blank" w:history="1">
        <w:r w:rsidRPr="009F21E9">
          <w:rPr>
            <w:rStyle w:val="Hyperlink"/>
          </w:rPr>
          <w:t>NIH Office of Technology Transfer</w:t>
        </w:r>
      </w:hyperlink>
      <w:r w:rsidRPr="009F21E9">
        <w:t> for further information: (301) 496-7057.</w:t>
      </w:r>
    </w:p>
    <w:p w14:paraId="54C8826B" w14:textId="77777777" w:rsidR="0080072F" w:rsidRDefault="00BE2298" w:rsidP="0080072F">
      <w:pPr>
        <w:pStyle w:val="Heading1"/>
      </w:pPr>
      <w:r w:rsidRPr="00BE2298">
        <w:t>NIH-Specific Policies Related to Biomedical Research</w:t>
      </w:r>
    </w:p>
    <w:p w14:paraId="2B4022EE" w14:textId="77777777" w:rsidR="00DD3557" w:rsidRPr="00DD3557" w:rsidRDefault="00DD3557" w:rsidP="00DD3557"/>
    <w:p w14:paraId="5688D90E" w14:textId="3DC7ACAC" w:rsidR="00DD3557" w:rsidRPr="00DD3557" w:rsidRDefault="00DD3557" w:rsidP="00722064">
      <w:pPr>
        <w:numPr>
          <w:ilvl w:val="0"/>
          <w:numId w:val="5"/>
        </w:numPr>
        <w:spacing w:after="0" w:line="360" w:lineRule="auto"/>
      </w:pPr>
      <w:r>
        <w:rPr>
          <w:noProof/>
        </w:rPr>
        <w:drawing>
          <wp:inline distT="0" distB="0" distL="0" distR="0" wp14:anchorId="6D5A0CB4" wp14:editId="1A554C62">
            <wp:extent cx="152400" cy="152400"/>
            <wp:effectExtent l="0" t="0" r="0" b="0"/>
            <wp:docPr id="13" name="Picture 13" descr="pdf documen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32">
        <w:r w:rsidRPr="38A730F4">
          <w:rPr>
            <w:rStyle w:val="Hyperlink"/>
          </w:rPr>
          <w:t>NIH Occupational Health and Safety Manual</w:t>
        </w:r>
      </w:hyperlink>
    </w:p>
    <w:p w14:paraId="5AFBCAB2" w14:textId="77777777" w:rsidR="00DD3557" w:rsidRPr="00DD3557" w:rsidRDefault="00DD3557" w:rsidP="00722064">
      <w:pPr>
        <w:numPr>
          <w:ilvl w:val="0"/>
          <w:numId w:val="5"/>
        </w:numPr>
        <w:spacing w:after="0" w:line="360" w:lineRule="auto"/>
      </w:pPr>
      <w:r>
        <w:rPr>
          <w:noProof/>
        </w:rPr>
        <w:drawing>
          <wp:inline distT="0" distB="0" distL="0" distR="0" wp14:anchorId="3017D205" wp14:editId="5CD49D87">
            <wp:extent cx="152400" cy="152400"/>
            <wp:effectExtent l="0" t="0" r="0" b="0"/>
            <wp:docPr id="12" name="Picture 12" descr="external link">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35">
        <w:r w:rsidRPr="38A730F4">
          <w:rPr>
            <w:rStyle w:val="Hyperlink"/>
          </w:rPr>
          <w:t>NIH Policy Manual Chapter: 1340 NIH Occupational Safety and Health Management</w:t>
        </w:r>
      </w:hyperlink>
      <w:r>
        <w:t> </w:t>
      </w:r>
    </w:p>
    <w:p w14:paraId="089BFBFD" w14:textId="77777777" w:rsidR="00DD3557" w:rsidRPr="00DD3557" w:rsidRDefault="00DD3557" w:rsidP="00722064">
      <w:pPr>
        <w:numPr>
          <w:ilvl w:val="0"/>
          <w:numId w:val="5"/>
        </w:numPr>
        <w:spacing w:after="0" w:line="360" w:lineRule="auto"/>
      </w:pPr>
      <w:r>
        <w:rPr>
          <w:noProof/>
        </w:rPr>
        <w:drawing>
          <wp:inline distT="0" distB="0" distL="0" distR="0" wp14:anchorId="7B67CBBE" wp14:editId="60BA4DE2">
            <wp:extent cx="152400" cy="152400"/>
            <wp:effectExtent l="0" t="0" r="0" b="0"/>
            <wp:docPr id="11" name="Picture 11" descr="external link">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37">
        <w:r w:rsidRPr="38A730F4">
          <w:rPr>
            <w:rStyle w:val="Hyperlink"/>
          </w:rPr>
          <w:t>NIH Policy Manual Chapter: 1340-1 Permits for Import or Export of Biological Material</w:t>
        </w:r>
      </w:hyperlink>
      <w:r>
        <w:t> </w:t>
      </w:r>
    </w:p>
    <w:p w14:paraId="631ECCE9" w14:textId="77777777" w:rsidR="00DD3557" w:rsidRDefault="00DD3557" w:rsidP="00722064">
      <w:pPr>
        <w:numPr>
          <w:ilvl w:val="0"/>
          <w:numId w:val="5"/>
        </w:numPr>
        <w:spacing w:after="0" w:line="360" w:lineRule="auto"/>
      </w:pPr>
      <w:r>
        <w:rPr>
          <w:noProof/>
        </w:rPr>
        <w:drawing>
          <wp:inline distT="0" distB="0" distL="0" distR="0" wp14:anchorId="19D90DA6" wp14:editId="7EF8DBDF">
            <wp:extent cx="152400" cy="152400"/>
            <wp:effectExtent l="0" t="0" r="0" b="0"/>
            <wp:docPr id="5" name="Picture 5" descr="external link">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39">
        <w:r w:rsidRPr="38A730F4">
          <w:rPr>
            <w:rStyle w:val="Hyperlink"/>
          </w:rPr>
          <w:t>NIH Policy Manual Chapter: 3015 Admittance of Children to Hazardous Areas</w:t>
        </w:r>
      </w:hyperlink>
      <w:r>
        <w:t> </w:t>
      </w:r>
    </w:p>
    <w:p w14:paraId="2FA7E2BC" w14:textId="25D842FB" w:rsidR="00875993" w:rsidRDefault="00D87A22" w:rsidP="00722064">
      <w:pPr>
        <w:numPr>
          <w:ilvl w:val="0"/>
          <w:numId w:val="5"/>
        </w:numPr>
        <w:spacing w:after="0" w:line="360" w:lineRule="auto"/>
      </w:pPr>
      <w:hyperlink r:id="rId40" w:tgtFrame="_blank" w:tooltip="Policy Manual 3032 - Waste Minimization and Management at the NIH" w:history="1">
        <w:r w:rsidR="003974C8">
          <w:rPr>
            <w:rFonts w:cs="Arial"/>
            <w:noProof/>
            <w:color w:val="0000FF"/>
            <w:shd w:val="clear" w:color="auto" w:fill="FFFFFF"/>
          </w:rPr>
          <w:drawing>
            <wp:inline distT="0" distB="0" distL="0" distR="0" wp14:anchorId="1D57B9C3" wp14:editId="497E27C2">
              <wp:extent cx="152400" cy="152400"/>
              <wp:effectExtent l="0" t="0" r="0" b="0"/>
              <wp:docPr id="17" name="Picture 17" descr="external link">
                <a:hlinkClick xmlns:a="http://schemas.openxmlformats.org/drawingml/2006/main" r:id="rId40" tgtFrame="&quot;_blank&quot;" tooltip="&quot;Policy Manual 3032 - Waste Minimization and Management at the NI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ternal link">
                        <a:hlinkClick r:id="rId40" tgtFrame="&quot;_blank&quot;" tooltip="&quot;Policy Manual 3032 - Waste Minimization and Management at the NIH&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974C8">
          <w:rPr>
            <w:rStyle w:val="Hyperlink"/>
            <w:rFonts w:cs="Arial"/>
            <w:shd w:val="clear" w:color="auto" w:fill="FFFFFF"/>
          </w:rPr>
          <w:t>NIH Policy Manual: Chapter 3032 Waste Minimization and Management at the NIH</w:t>
        </w:r>
      </w:hyperlink>
      <w:r w:rsidR="003974C8">
        <w:rPr>
          <w:rFonts w:cs="Arial"/>
          <w:color w:val="363636"/>
          <w:shd w:val="clear" w:color="auto" w:fill="FFFFFF"/>
        </w:rPr>
        <w:t> </w:t>
      </w:r>
    </w:p>
    <w:p w14:paraId="56B202D6" w14:textId="11C7A739" w:rsidR="00875993" w:rsidRPr="00875993" w:rsidRDefault="00D87A22" w:rsidP="00722064">
      <w:pPr>
        <w:numPr>
          <w:ilvl w:val="0"/>
          <w:numId w:val="5"/>
        </w:numPr>
        <w:spacing w:after="0" w:line="360" w:lineRule="auto"/>
      </w:pPr>
      <w:hyperlink r:id="rId41" w:tgtFrame="_blank" w:tooltip="NIH Policy Manual 3034 – Working with Hazardous Materials" w:history="1">
        <w:r w:rsidR="003974C8">
          <w:rPr>
            <w:rFonts w:cs="Arial"/>
            <w:noProof/>
            <w:color w:val="0000FF"/>
            <w:shd w:val="clear" w:color="auto" w:fill="FFFFFF"/>
          </w:rPr>
          <w:drawing>
            <wp:inline distT="0" distB="0" distL="0" distR="0" wp14:anchorId="46B7242F" wp14:editId="7AF3E774">
              <wp:extent cx="152400" cy="152400"/>
              <wp:effectExtent l="0" t="0" r="0" b="0"/>
              <wp:docPr id="16" name="Picture 16" descr="external link">
                <a:hlinkClick xmlns:a="http://schemas.openxmlformats.org/drawingml/2006/main" r:id="rId41" tgtFrame="&quot;_blank&quot;" tooltip="&quot;NIH Policy Manual 3034 – Working with Hazardous Materi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ternal link">
                        <a:hlinkClick r:id="rId41" tgtFrame="&quot;_blank&quot;" tooltip="&quot;NIH Policy Manual 3034 – Working with Hazardous Materials&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974C8">
          <w:rPr>
            <w:rStyle w:val="Hyperlink"/>
            <w:rFonts w:cs="Arial"/>
            <w:shd w:val="clear" w:color="auto" w:fill="FFFFFF"/>
          </w:rPr>
          <w:t>NIH Policy Manual: Chapter 3034 Working with Hazardous Materials</w:t>
        </w:r>
      </w:hyperlink>
      <w:r w:rsidR="003974C8">
        <w:rPr>
          <w:rFonts w:cs="Arial"/>
          <w:color w:val="363636"/>
          <w:shd w:val="clear" w:color="auto" w:fill="FFFFFF"/>
        </w:rPr>
        <w:t> </w:t>
      </w:r>
    </w:p>
    <w:p w14:paraId="0623C2F5" w14:textId="77777777" w:rsidR="00875993" w:rsidRDefault="00875993" w:rsidP="00722064">
      <w:pPr>
        <w:pStyle w:val="spaced"/>
        <w:numPr>
          <w:ilvl w:val="0"/>
          <w:numId w:val="5"/>
        </w:numPr>
        <w:shd w:val="clear" w:color="auto" w:fill="FFFFFF"/>
        <w:spacing w:after="0" w:afterAutospacing="0" w:line="360" w:lineRule="auto"/>
        <w:rPr>
          <w:rFonts w:ascii="Arial" w:hAnsi="Arial" w:cs="Arial"/>
          <w:color w:val="363636"/>
          <w:sz w:val="22"/>
          <w:szCs w:val="22"/>
        </w:rPr>
      </w:pPr>
      <w:r>
        <w:rPr>
          <w:noProof/>
        </w:rPr>
        <w:drawing>
          <wp:inline distT="0" distB="0" distL="0" distR="0" wp14:anchorId="7C973EC5" wp14:editId="78531F29">
            <wp:extent cx="152400" cy="152400"/>
            <wp:effectExtent l="0" t="0" r="0" b="0"/>
            <wp:docPr id="20" name="Picture 20" descr="external link">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43">
        <w:r w:rsidRPr="38A730F4">
          <w:rPr>
            <w:rStyle w:val="Hyperlink"/>
            <w:rFonts w:ascii="Arial" w:hAnsi="Arial" w:cs="Arial"/>
            <w:sz w:val="22"/>
            <w:szCs w:val="22"/>
          </w:rPr>
          <w:t>NIH Policy Manual: Chapter 3035 Working Safely with Hazardous Biological Materials</w:t>
        </w:r>
      </w:hyperlink>
      <w:r w:rsidRPr="38A730F4">
        <w:rPr>
          <w:rFonts w:ascii="Arial" w:hAnsi="Arial" w:cs="Arial"/>
          <w:color w:val="363636"/>
          <w:sz w:val="22"/>
          <w:szCs w:val="22"/>
        </w:rPr>
        <w:t> </w:t>
      </w:r>
    </w:p>
    <w:p w14:paraId="0EB05A61" w14:textId="28544FE1" w:rsidR="003974C8" w:rsidRPr="003974C8" w:rsidRDefault="00875993" w:rsidP="00722064">
      <w:pPr>
        <w:pStyle w:val="spaced"/>
        <w:numPr>
          <w:ilvl w:val="0"/>
          <w:numId w:val="5"/>
        </w:numPr>
        <w:shd w:val="clear" w:color="auto" w:fill="FFFFFF"/>
        <w:spacing w:after="0" w:afterAutospacing="0" w:line="360" w:lineRule="auto"/>
        <w:rPr>
          <w:rFonts w:ascii="Arial" w:hAnsi="Arial" w:cs="Arial"/>
          <w:color w:val="363636"/>
          <w:sz w:val="22"/>
          <w:szCs w:val="22"/>
        </w:rPr>
      </w:pPr>
      <w:r>
        <w:rPr>
          <w:noProof/>
        </w:rPr>
        <w:lastRenderedPageBreak/>
        <w:drawing>
          <wp:inline distT="0" distB="0" distL="0" distR="0" wp14:anchorId="05620798" wp14:editId="28BD28F5">
            <wp:extent cx="152400" cy="152400"/>
            <wp:effectExtent l="0" t="0" r="0" b="0"/>
            <wp:docPr id="19" name="Picture 19" descr="external link">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45">
        <w:r w:rsidRPr="38A730F4">
          <w:rPr>
            <w:rStyle w:val="Hyperlink"/>
            <w:rFonts w:ascii="Arial" w:hAnsi="Arial" w:cs="Arial"/>
            <w:sz w:val="22"/>
            <w:szCs w:val="22"/>
          </w:rPr>
          <w:t>NIH Policy Manual: Chapter 3037 NIH Biological Surety Program </w:t>
        </w:r>
      </w:hyperlink>
    </w:p>
    <w:p w14:paraId="50E5AEFE" w14:textId="4756019F" w:rsidR="00875993" w:rsidRDefault="00DD3557" w:rsidP="00722064">
      <w:pPr>
        <w:numPr>
          <w:ilvl w:val="0"/>
          <w:numId w:val="5"/>
        </w:numPr>
        <w:spacing w:after="0" w:line="360" w:lineRule="auto"/>
      </w:pPr>
      <w:r>
        <w:rPr>
          <w:noProof/>
        </w:rPr>
        <w:drawing>
          <wp:inline distT="0" distB="0" distL="0" distR="0" wp14:anchorId="0B358744" wp14:editId="0DAB1EC8">
            <wp:extent cx="152400" cy="152400"/>
            <wp:effectExtent l="0" t="0" r="0" b="0"/>
            <wp:docPr id="3" name="Picture 3" descr="external lin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46">
        <w:r w:rsidRPr="38A730F4">
          <w:rPr>
            <w:rStyle w:val="Hyperlink"/>
          </w:rPr>
          <w:t xml:space="preserve">NIH Policy Manual Chapter: 3038 Working Safely </w:t>
        </w:r>
        <w:proofErr w:type="gramStart"/>
        <w:r w:rsidRPr="38A730F4">
          <w:rPr>
            <w:rStyle w:val="Hyperlink"/>
          </w:rPr>
          <w:t>With</w:t>
        </w:r>
        <w:proofErr w:type="gramEnd"/>
        <w:r w:rsidRPr="38A730F4">
          <w:rPr>
            <w:rStyle w:val="Hyperlink"/>
          </w:rPr>
          <w:t xml:space="preserve"> Cell Sorters</w:t>
        </w:r>
      </w:hyperlink>
    </w:p>
    <w:p w14:paraId="7654B42F" w14:textId="77777777" w:rsidR="003974C8" w:rsidRDefault="00D87A22" w:rsidP="00722064">
      <w:pPr>
        <w:numPr>
          <w:ilvl w:val="0"/>
          <w:numId w:val="5"/>
        </w:numPr>
        <w:spacing w:after="0" w:line="360" w:lineRule="auto"/>
      </w:pPr>
      <w:hyperlink r:id="rId47" w:tgtFrame="_blank" w:tooltip="NIH Policy Manual: Chapter 3044-2 Protection of NIH Personnel Who Work with Nonhuman Primates " w:history="1">
        <w:r w:rsidR="003974C8">
          <w:rPr>
            <w:rFonts w:cs="Arial"/>
            <w:noProof/>
            <w:color w:val="0000FF"/>
            <w:shd w:val="clear" w:color="auto" w:fill="FFFFFF"/>
          </w:rPr>
          <w:drawing>
            <wp:inline distT="0" distB="0" distL="0" distR="0" wp14:anchorId="14273E90" wp14:editId="4097D894">
              <wp:extent cx="152400" cy="152400"/>
              <wp:effectExtent l="0" t="0" r="0" b="0"/>
              <wp:docPr id="15" name="Picture 15" descr="external link">
                <a:hlinkClick xmlns:a="http://schemas.openxmlformats.org/drawingml/2006/main" r:id="rId47" tgtFrame="&quot;_blank&quot;" tooltip="&quot;NIH Policy Manual: Chapter 3044-2 Protection of NIH Personnel Who Work with Nonhuman Primate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ternal link">
                        <a:hlinkClick r:id="rId47" tgtFrame="&quot;_blank&quot;" tooltip="&quot;NIH Policy Manual: Chapter 3044-2 Protection of NIH Personnel Who Work with Nonhuman Primates &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974C8">
          <w:rPr>
            <w:rStyle w:val="Hyperlink"/>
            <w:rFonts w:cs="Arial"/>
            <w:shd w:val="clear" w:color="auto" w:fill="FFFFFF"/>
          </w:rPr>
          <w:t>NIH Policy Manual: Chapter 3044-2 Protection of NIH Personnel Who Work with Nonhuman Primates </w:t>
        </w:r>
      </w:hyperlink>
    </w:p>
    <w:p w14:paraId="2A9176EC" w14:textId="77777777" w:rsidR="003974C8" w:rsidRPr="00875993" w:rsidRDefault="00D87A22" w:rsidP="00722064">
      <w:pPr>
        <w:numPr>
          <w:ilvl w:val="0"/>
          <w:numId w:val="5"/>
        </w:numPr>
        <w:spacing w:after="0" w:line="360" w:lineRule="auto"/>
      </w:pPr>
      <w:hyperlink r:id="rId48" w:tgtFrame="_blank" w:tooltip="The Waste Calendar: A Guide to Waste Disposal at NIH" w:history="1">
        <w:r w:rsidR="003974C8">
          <w:rPr>
            <w:rFonts w:cs="Arial"/>
            <w:noProof/>
            <w:color w:val="0000FF"/>
            <w:shd w:val="clear" w:color="auto" w:fill="FFFFFF"/>
          </w:rPr>
          <w:drawing>
            <wp:inline distT="0" distB="0" distL="0" distR="0" wp14:anchorId="1C5C7D6F" wp14:editId="2344D2BC">
              <wp:extent cx="152400" cy="152400"/>
              <wp:effectExtent l="0" t="0" r="0" b="0"/>
              <wp:docPr id="18" name="Picture 18" descr="external link">
                <a:hlinkClick xmlns:a="http://schemas.openxmlformats.org/drawingml/2006/main" r:id="rId48" tgtFrame="&quot;_blank&quot;" tooltip="&quot;The Waste Calendar: A Guide to Waste Disposal at NI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ternal link">
                        <a:hlinkClick r:id="rId48" tgtFrame="&quot;_blank&quot;" tooltip="&quot;The Waste Calendar: A Guide to Waste Disposal at NIH&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974C8">
          <w:rPr>
            <w:rStyle w:val="Hyperlink"/>
            <w:rFonts w:cs="Arial"/>
            <w:shd w:val="clear" w:color="auto" w:fill="FFFFFF"/>
          </w:rPr>
          <w:t>The Waste Guide: A Guide to Waste Disposal at NIH</w:t>
        </w:r>
      </w:hyperlink>
      <w:r w:rsidR="003974C8">
        <w:rPr>
          <w:rFonts w:cs="Arial"/>
          <w:color w:val="363636"/>
          <w:shd w:val="clear" w:color="auto" w:fill="FFFFFF"/>
        </w:rPr>
        <w:t> </w:t>
      </w:r>
    </w:p>
    <w:p w14:paraId="298BFB5A" w14:textId="77777777" w:rsidR="003974C8" w:rsidRPr="00875993" w:rsidRDefault="00D87A22" w:rsidP="00722064">
      <w:pPr>
        <w:numPr>
          <w:ilvl w:val="0"/>
          <w:numId w:val="5"/>
        </w:numPr>
        <w:spacing w:after="0" w:line="360" w:lineRule="auto"/>
      </w:pPr>
      <w:hyperlink r:id="rId50" w:tgtFrame="_blank" w:tooltip="Biosafety in Microbiological and Biomedical Laboratories (BMBL), 5th ed." w:history="1">
        <w:r w:rsidR="003974C8">
          <w:rPr>
            <w:rFonts w:cs="Arial"/>
            <w:noProof/>
            <w:color w:val="0000FF"/>
            <w:shd w:val="clear" w:color="auto" w:fill="FFFFFF"/>
          </w:rPr>
          <w:drawing>
            <wp:inline distT="0" distB="0" distL="0" distR="0" wp14:anchorId="22552DBF" wp14:editId="38C8BBBF">
              <wp:extent cx="152400" cy="152400"/>
              <wp:effectExtent l="0" t="0" r="0" b="0"/>
              <wp:docPr id="21" name="Picture 21" descr="external link">
                <a:hlinkClick xmlns:a="http://schemas.openxmlformats.org/drawingml/2006/main" r:id="rId50" tgtFrame="&quot;_blank&quot;" tooltip="&quot;Biosafety in Microbiological and Biomedical Laboratories (BMBL), 5th 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ternal link">
                        <a:hlinkClick r:id="rId50" tgtFrame="&quot;_blank&quot;" tooltip="&quot;Biosafety in Microbiological and Biomedical Laboratories (BMBL), 5th ed.&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974C8">
          <w:rPr>
            <w:rStyle w:val="Hyperlink"/>
            <w:rFonts w:cs="Arial"/>
            <w:shd w:val="clear" w:color="auto" w:fill="FFFFFF"/>
          </w:rPr>
          <w:t>Biosafety in Microbiological and Biomedical Laboratories (BMBL), 6th ed.</w:t>
        </w:r>
      </w:hyperlink>
      <w:r w:rsidR="003974C8">
        <w:rPr>
          <w:rFonts w:cs="Arial"/>
          <w:color w:val="363636"/>
          <w:shd w:val="clear" w:color="auto" w:fill="FFFFFF"/>
        </w:rPr>
        <w:t> </w:t>
      </w:r>
    </w:p>
    <w:p w14:paraId="76068057" w14:textId="37688093" w:rsidR="00875993" w:rsidRPr="00DD3557" w:rsidRDefault="00D87A22" w:rsidP="00722064">
      <w:pPr>
        <w:numPr>
          <w:ilvl w:val="0"/>
          <w:numId w:val="5"/>
        </w:numPr>
        <w:spacing w:after="0" w:line="360" w:lineRule="auto"/>
      </w:pPr>
      <w:hyperlink r:id="rId51" w:tgtFrame="_blank" w:tooltip="42 CFR Part 73-Select Agents and Toxins" w:history="1">
        <w:r w:rsidR="003974C8">
          <w:rPr>
            <w:rFonts w:cs="Arial"/>
            <w:noProof/>
            <w:color w:val="0000FF"/>
            <w:shd w:val="clear" w:color="auto" w:fill="FFFFFF"/>
          </w:rPr>
          <w:drawing>
            <wp:inline distT="0" distB="0" distL="0" distR="0" wp14:anchorId="07D7738B" wp14:editId="6F785736">
              <wp:extent cx="152400" cy="152400"/>
              <wp:effectExtent l="0" t="0" r="0" b="0"/>
              <wp:docPr id="22" name="Picture 22" descr="external link">
                <a:hlinkClick xmlns:a="http://schemas.openxmlformats.org/drawingml/2006/main" r:id="rId52" tgtFrame="&quot;_blank&quot;" tooltip="&quot;42 CFR Part 73-Select Agents and Toxi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ternal link">
                        <a:hlinkClick r:id="rId52" tgtFrame="&quot;_blank&quot;" tooltip="&quot;42 CFR Part 73-Select Agents and Toxins&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974C8">
          <w:rPr>
            <w:rStyle w:val="Hyperlink"/>
            <w:rFonts w:cs="Arial"/>
            <w:shd w:val="clear" w:color="auto" w:fill="FFFFFF"/>
          </w:rPr>
          <w:t>42 CFR Part 73-Select Agents and Toxins</w:t>
        </w:r>
      </w:hyperlink>
      <w:r w:rsidR="003974C8">
        <w:rPr>
          <w:rFonts w:cs="Arial"/>
          <w:color w:val="363636"/>
          <w:shd w:val="clear" w:color="auto" w:fill="FFFFFF"/>
        </w:rPr>
        <w:t> </w:t>
      </w:r>
    </w:p>
    <w:p w14:paraId="7276878F" w14:textId="77777777" w:rsidR="003D6A81" w:rsidRDefault="003D6A81" w:rsidP="003D6A81"/>
    <w:p w14:paraId="483B5FD3" w14:textId="77777777" w:rsidR="00BE2298" w:rsidRDefault="00BE2298" w:rsidP="003D6A81">
      <w:pPr>
        <w:pStyle w:val="Heading1"/>
      </w:pPr>
      <w:r>
        <w:t>Appendices</w:t>
      </w:r>
    </w:p>
    <w:p w14:paraId="28D80AA1" w14:textId="77777777" w:rsidR="00BE2298" w:rsidRDefault="00BE2298" w:rsidP="00BE2298">
      <w:pPr>
        <w:pStyle w:val="Heading2"/>
      </w:pPr>
      <w:r w:rsidRPr="00EE551F">
        <w:t>Appendix A: Exposure Control Plan</w:t>
      </w:r>
    </w:p>
    <w:p w14:paraId="031C8853" w14:textId="64F91A57" w:rsidR="00BE2298" w:rsidRDefault="00BE2298" w:rsidP="00BE2298">
      <w:pPr>
        <w:pStyle w:val="Heading2"/>
      </w:pPr>
      <w:r>
        <w:t xml:space="preserve">Appendix B: </w:t>
      </w:r>
      <w:r w:rsidR="00CB0A3E">
        <w:t>Laboratory Training Records</w:t>
      </w:r>
    </w:p>
    <w:p w14:paraId="78A696B7" w14:textId="4FD391EE" w:rsidR="003D6A81" w:rsidRPr="003D6A81" w:rsidRDefault="00BE2298" w:rsidP="00BE2298">
      <w:pPr>
        <w:pStyle w:val="Heading2"/>
      </w:pPr>
      <w:r>
        <w:t xml:space="preserve">Appendix C: </w:t>
      </w:r>
      <w:r w:rsidR="00CB0A3E">
        <w:t>Standard Operating Procedures</w:t>
      </w:r>
    </w:p>
    <w:p w14:paraId="6BA53A38" w14:textId="2E5C8B79" w:rsidR="00630E45" w:rsidRDefault="794C8D43" w:rsidP="38A730F4">
      <w:pPr>
        <w:pStyle w:val="Heading2"/>
      </w:pPr>
      <w:r>
        <w:t xml:space="preserve">Appendix D: </w:t>
      </w:r>
      <w:r w:rsidR="00CB0A3E">
        <w:t>Incidents/Comments Log</w:t>
      </w:r>
    </w:p>
    <w:p w14:paraId="29F0DE06" w14:textId="1C37F1F8" w:rsidR="00630E45" w:rsidRDefault="00630E45" w:rsidP="38A730F4"/>
    <w:p w14:paraId="18825A2F" w14:textId="77777777" w:rsidR="007548E7" w:rsidRDefault="007548E7" w:rsidP="003559F4"/>
    <w:p w14:paraId="5BCA73EC" w14:textId="77777777" w:rsidR="007548E7" w:rsidRDefault="007548E7">
      <w:r>
        <w:br w:type="page"/>
      </w:r>
    </w:p>
    <w:p w14:paraId="00CDFD14" w14:textId="77777777" w:rsidR="007548E7" w:rsidRDefault="007548E7" w:rsidP="007548E7">
      <w:pPr>
        <w:pStyle w:val="Heading2"/>
      </w:pPr>
      <w:r>
        <w:lastRenderedPageBreak/>
        <w:t>Appendix A: Exposure Control Plan</w:t>
      </w:r>
      <w:r w:rsidR="00DD3557">
        <w:t xml:space="preserve"> (ECP)</w:t>
      </w:r>
    </w:p>
    <w:p w14:paraId="7972A1A8" w14:textId="77777777" w:rsidR="00DD3557" w:rsidRDefault="00DD3557" w:rsidP="00DD3557"/>
    <w:p w14:paraId="3DB0AF7B" w14:textId="7C9A2DFA" w:rsidR="00DD3557" w:rsidRDefault="00DD3557" w:rsidP="00DD3557">
      <w:r>
        <w:t xml:space="preserve">This ECP establishes the policy for the implementation of procedures related to the control of infectious diseases that may be contracted by the bloodborne route. The ECP is </w:t>
      </w:r>
      <w:r w:rsidR="000F513F">
        <w:t xml:space="preserve">compliant </w:t>
      </w:r>
      <w:r>
        <w:t>with the Occupational Safety and Health Administration (OSHA) Bloodborne Pathogens Standard (29 CFR 1910.1030) and serves as both the written program, for compliance purposes, and as a training document.</w:t>
      </w:r>
    </w:p>
    <w:p w14:paraId="3E48D408" w14:textId="77777777" w:rsidR="00DD3557" w:rsidRDefault="00DD3557" w:rsidP="00DD3557">
      <w:r>
        <w:t xml:space="preserve">Please see the full document at: </w:t>
      </w:r>
    </w:p>
    <w:p w14:paraId="5A937A04" w14:textId="7A4A924B" w:rsidR="00DD3557" w:rsidRPr="00DD3557" w:rsidRDefault="00D87A22" w:rsidP="00DD3557">
      <w:hyperlink r:id="rId53" w:history="1">
        <w:r w:rsidR="00CB0A3E">
          <w:rPr>
            <w:rStyle w:val="Hyperlink"/>
          </w:rPr>
          <w:t>NIH Exposure Control Program for Non-Hospital Personnel</w:t>
        </w:r>
      </w:hyperlink>
    </w:p>
    <w:p w14:paraId="66BCE0F0" w14:textId="77777777" w:rsidR="007548E7" w:rsidRDefault="007548E7" w:rsidP="003559F4"/>
    <w:p w14:paraId="770E5032" w14:textId="77777777" w:rsidR="007548E7" w:rsidRDefault="007548E7" w:rsidP="003559F4"/>
    <w:p w14:paraId="7B277569" w14:textId="77777777" w:rsidR="007548E7" w:rsidRDefault="007548E7">
      <w:r>
        <w:br w:type="page"/>
      </w:r>
    </w:p>
    <w:p w14:paraId="33D04909" w14:textId="7AFF53CE" w:rsidR="007548E7" w:rsidRDefault="007548E7" w:rsidP="007548E7">
      <w:pPr>
        <w:pStyle w:val="Heading2"/>
      </w:pPr>
      <w:r>
        <w:lastRenderedPageBreak/>
        <w:t xml:space="preserve">Appendix B: </w:t>
      </w:r>
      <w:r w:rsidR="00CB0A3E">
        <w:t>Laboratory Training Records</w:t>
      </w:r>
    </w:p>
    <w:p w14:paraId="588EBCE7" w14:textId="77777777" w:rsidR="007548E7" w:rsidRDefault="007548E7" w:rsidP="003559F4"/>
    <w:p w14:paraId="243BD1F3" w14:textId="2D484207" w:rsidR="007557C8" w:rsidRDefault="007557C8" w:rsidP="003559F4">
      <w:r w:rsidRPr="004A0518">
        <w:rPr>
          <w:rFonts w:cs="Arial"/>
          <w:b/>
          <w:bCs/>
        </w:rPr>
        <w:t xml:space="preserve">Training certificates for all laboratory staff </w:t>
      </w:r>
      <w:r w:rsidR="00CB0A3E">
        <w:rPr>
          <w:rFonts w:cs="Arial"/>
          <w:b/>
          <w:bCs/>
        </w:rPr>
        <w:t xml:space="preserve">(Lab Safety. Bloodborne Pathogens, etc.) </w:t>
      </w:r>
      <w:r w:rsidRPr="004A0518">
        <w:rPr>
          <w:rFonts w:cs="Arial"/>
          <w:b/>
          <w:bCs/>
        </w:rPr>
        <w:t xml:space="preserve">must be included in </w:t>
      </w:r>
      <w:r w:rsidR="00CB0A3E">
        <w:rPr>
          <w:rFonts w:cs="Arial"/>
          <w:b/>
          <w:bCs/>
        </w:rPr>
        <w:t xml:space="preserve">this </w:t>
      </w:r>
      <w:r w:rsidRPr="004A0518">
        <w:rPr>
          <w:rFonts w:cs="Arial"/>
          <w:b/>
          <w:bCs/>
        </w:rPr>
        <w:t>Appendix B, along with records for certified shippers.</w:t>
      </w:r>
      <w:r>
        <w:rPr>
          <w:rFonts w:cs="Arial"/>
          <w:b/>
          <w:bCs/>
        </w:rPr>
        <w:t xml:space="preserve"> Please attach </w:t>
      </w:r>
      <w:r w:rsidR="006E0761">
        <w:rPr>
          <w:rFonts w:cs="Arial"/>
          <w:b/>
          <w:bCs/>
        </w:rPr>
        <w:t xml:space="preserve">certificates </w:t>
      </w:r>
      <w:r w:rsidR="00AD2CF6">
        <w:rPr>
          <w:rFonts w:cs="Arial"/>
          <w:b/>
          <w:bCs/>
        </w:rPr>
        <w:t>following this page.</w:t>
      </w:r>
    </w:p>
    <w:tbl>
      <w:tblPr>
        <w:tblStyle w:val="GridTable4-Accent3"/>
        <w:tblW w:w="0" w:type="auto"/>
        <w:tblLook w:val="04A0" w:firstRow="1" w:lastRow="0" w:firstColumn="1" w:lastColumn="0" w:noHBand="0" w:noVBand="1"/>
      </w:tblPr>
      <w:tblGrid>
        <w:gridCol w:w="2965"/>
        <w:gridCol w:w="3960"/>
        <w:gridCol w:w="2138"/>
      </w:tblGrid>
      <w:tr w:rsidR="00C6675D" w:rsidRPr="00886751" w14:paraId="5F4E7D65" w14:textId="5B1EF3EC" w:rsidTr="00C6675D">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65" w:type="dxa"/>
            <w:tcBorders>
              <w:right w:val="single" w:sz="4" w:space="0" w:color="auto"/>
            </w:tcBorders>
          </w:tcPr>
          <w:p w14:paraId="366F325F" w14:textId="02F91AAE" w:rsidR="00C6675D" w:rsidRPr="00DE05B3" w:rsidRDefault="00C6675D" w:rsidP="00DE05B3">
            <w:pPr>
              <w:pStyle w:val="Header"/>
              <w:jc w:val="center"/>
              <w:rPr>
                <w:bCs w:val="0"/>
                <w:color w:val="000000" w:themeColor="text1"/>
              </w:rPr>
            </w:pPr>
            <w:r w:rsidRPr="0090551D">
              <w:rPr>
                <w:color w:val="000000" w:themeColor="text1"/>
              </w:rPr>
              <w:t>Name</w:t>
            </w:r>
            <w:r>
              <w:rPr>
                <w:color w:val="000000" w:themeColor="text1"/>
              </w:rPr>
              <w:t>:</w:t>
            </w:r>
          </w:p>
        </w:tc>
        <w:tc>
          <w:tcPr>
            <w:tcW w:w="3960" w:type="dxa"/>
            <w:tcBorders>
              <w:left w:val="single" w:sz="4" w:space="0" w:color="auto"/>
              <w:right w:val="single" w:sz="4" w:space="0" w:color="auto"/>
            </w:tcBorders>
          </w:tcPr>
          <w:p w14:paraId="62EC3F13" w14:textId="2D09FDDD" w:rsidR="00C6675D" w:rsidRPr="00886751" w:rsidRDefault="00C6675D" w:rsidP="00DE05B3">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Training:</w:t>
            </w:r>
          </w:p>
        </w:tc>
        <w:tc>
          <w:tcPr>
            <w:tcW w:w="2138" w:type="dxa"/>
            <w:tcBorders>
              <w:left w:val="single" w:sz="4" w:space="0" w:color="auto"/>
            </w:tcBorders>
          </w:tcPr>
          <w:p w14:paraId="1C3CB091" w14:textId="08EAA6B4" w:rsidR="00C6675D" w:rsidRPr="00886751" w:rsidRDefault="00C6675D" w:rsidP="00DE05B3">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Date:</w:t>
            </w:r>
          </w:p>
        </w:tc>
      </w:tr>
      <w:tr w:rsidR="00C6675D" w14:paraId="438FAE69" w14:textId="58DA58AA" w:rsidTr="00C6675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965" w:type="dxa"/>
          </w:tcPr>
          <w:p w14:paraId="612D79E9" w14:textId="77777777" w:rsidR="00C6675D" w:rsidRDefault="00C6675D" w:rsidP="004F5228"/>
        </w:tc>
        <w:tc>
          <w:tcPr>
            <w:tcW w:w="3960" w:type="dxa"/>
          </w:tcPr>
          <w:p w14:paraId="28AAC0E7"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c>
          <w:tcPr>
            <w:tcW w:w="2138" w:type="dxa"/>
          </w:tcPr>
          <w:p w14:paraId="39B72EEB"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r>
      <w:tr w:rsidR="00C6675D" w14:paraId="21ABF464" w14:textId="474498B1" w:rsidTr="00C6675D">
        <w:trPr>
          <w:trHeight w:val="328"/>
        </w:trPr>
        <w:tc>
          <w:tcPr>
            <w:cnfStyle w:val="001000000000" w:firstRow="0" w:lastRow="0" w:firstColumn="1" w:lastColumn="0" w:oddVBand="0" w:evenVBand="0" w:oddHBand="0" w:evenHBand="0" w:firstRowFirstColumn="0" w:firstRowLastColumn="0" w:lastRowFirstColumn="0" w:lastRowLastColumn="0"/>
            <w:tcW w:w="2965" w:type="dxa"/>
          </w:tcPr>
          <w:p w14:paraId="7A22BF18" w14:textId="77777777" w:rsidR="00C6675D" w:rsidRDefault="00C6675D" w:rsidP="004F5228"/>
        </w:tc>
        <w:tc>
          <w:tcPr>
            <w:tcW w:w="3960" w:type="dxa"/>
          </w:tcPr>
          <w:p w14:paraId="2209EA77"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c>
          <w:tcPr>
            <w:tcW w:w="2138" w:type="dxa"/>
          </w:tcPr>
          <w:p w14:paraId="71749CB0"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r>
      <w:tr w:rsidR="00C6675D" w14:paraId="1E9AA487" w14:textId="53D2B64E" w:rsidTr="00C6675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965" w:type="dxa"/>
          </w:tcPr>
          <w:p w14:paraId="5CCB5BE5" w14:textId="77777777" w:rsidR="00C6675D" w:rsidRPr="00EC0318" w:rsidRDefault="00C6675D" w:rsidP="004F5228">
            <w:pPr>
              <w:rPr>
                <w:b w:val="0"/>
                <w:bCs w:val="0"/>
              </w:rPr>
            </w:pPr>
          </w:p>
        </w:tc>
        <w:tc>
          <w:tcPr>
            <w:tcW w:w="3960" w:type="dxa"/>
          </w:tcPr>
          <w:p w14:paraId="0091498B"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c>
          <w:tcPr>
            <w:tcW w:w="2138" w:type="dxa"/>
          </w:tcPr>
          <w:p w14:paraId="60BF1BCE"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r>
      <w:tr w:rsidR="00C6675D" w14:paraId="3DB38206" w14:textId="46398AA0" w:rsidTr="00C6675D">
        <w:trPr>
          <w:trHeight w:val="348"/>
        </w:trPr>
        <w:tc>
          <w:tcPr>
            <w:cnfStyle w:val="001000000000" w:firstRow="0" w:lastRow="0" w:firstColumn="1" w:lastColumn="0" w:oddVBand="0" w:evenVBand="0" w:oddHBand="0" w:evenHBand="0" w:firstRowFirstColumn="0" w:firstRowLastColumn="0" w:lastRowFirstColumn="0" w:lastRowLastColumn="0"/>
            <w:tcW w:w="2965" w:type="dxa"/>
          </w:tcPr>
          <w:p w14:paraId="2DA68332" w14:textId="77777777" w:rsidR="00C6675D" w:rsidRPr="00EC0318" w:rsidRDefault="00C6675D" w:rsidP="004F5228">
            <w:pPr>
              <w:rPr>
                <w:b w:val="0"/>
                <w:bCs w:val="0"/>
              </w:rPr>
            </w:pPr>
          </w:p>
        </w:tc>
        <w:tc>
          <w:tcPr>
            <w:tcW w:w="3960" w:type="dxa"/>
          </w:tcPr>
          <w:p w14:paraId="6803D8D2"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c>
          <w:tcPr>
            <w:tcW w:w="2138" w:type="dxa"/>
          </w:tcPr>
          <w:p w14:paraId="76A1F150"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r>
      <w:tr w:rsidR="00C6675D" w14:paraId="313951E7" w14:textId="0494A3A7" w:rsidTr="00C6675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965" w:type="dxa"/>
          </w:tcPr>
          <w:p w14:paraId="2A8FF2AD" w14:textId="77777777" w:rsidR="00C6675D" w:rsidRPr="00B86D24" w:rsidRDefault="00C6675D" w:rsidP="004F5228">
            <w:pPr>
              <w:rPr>
                <w:b w:val="0"/>
                <w:bCs w:val="0"/>
              </w:rPr>
            </w:pPr>
          </w:p>
        </w:tc>
        <w:tc>
          <w:tcPr>
            <w:tcW w:w="3960" w:type="dxa"/>
          </w:tcPr>
          <w:p w14:paraId="6F5DB029" w14:textId="77777777" w:rsidR="00C6675D" w:rsidRPr="00B86D24" w:rsidRDefault="00C6675D" w:rsidP="004F5228">
            <w:pPr>
              <w:cnfStyle w:val="000000100000" w:firstRow="0" w:lastRow="0" w:firstColumn="0" w:lastColumn="0" w:oddVBand="0" w:evenVBand="0" w:oddHBand="1" w:evenHBand="0" w:firstRowFirstColumn="0" w:firstRowLastColumn="0" w:lastRowFirstColumn="0" w:lastRowLastColumn="0"/>
            </w:pPr>
          </w:p>
        </w:tc>
        <w:tc>
          <w:tcPr>
            <w:tcW w:w="2138" w:type="dxa"/>
          </w:tcPr>
          <w:p w14:paraId="783C0283" w14:textId="77777777" w:rsidR="00C6675D" w:rsidRPr="0070320D" w:rsidRDefault="00C6675D" w:rsidP="004F5228">
            <w:pPr>
              <w:cnfStyle w:val="000000100000" w:firstRow="0" w:lastRow="0" w:firstColumn="0" w:lastColumn="0" w:oddVBand="0" w:evenVBand="0" w:oddHBand="1" w:evenHBand="0" w:firstRowFirstColumn="0" w:firstRowLastColumn="0" w:lastRowFirstColumn="0" w:lastRowLastColumn="0"/>
              <w:rPr>
                <w:color w:val="EDEDED" w:themeColor="accent3" w:themeTint="33"/>
              </w:rPr>
            </w:pPr>
          </w:p>
        </w:tc>
      </w:tr>
      <w:tr w:rsidR="00C6675D" w14:paraId="6359EFBD" w14:textId="05CC6ED4" w:rsidTr="00C6675D">
        <w:trPr>
          <w:trHeight w:val="348"/>
        </w:trPr>
        <w:tc>
          <w:tcPr>
            <w:cnfStyle w:val="001000000000" w:firstRow="0" w:lastRow="0" w:firstColumn="1" w:lastColumn="0" w:oddVBand="0" w:evenVBand="0" w:oddHBand="0" w:evenHBand="0" w:firstRowFirstColumn="0" w:firstRowLastColumn="0" w:lastRowFirstColumn="0" w:lastRowLastColumn="0"/>
            <w:tcW w:w="2965" w:type="dxa"/>
          </w:tcPr>
          <w:p w14:paraId="7F07DD8F" w14:textId="77777777" w:rsidR="00C6675D" w:rsidRPr="00DD2EE2" w:rsidRDefault="00C6675D" w:rsidP="004F5228">
            <w:pPr>
              <w:rPr>
                <w:b w:val="0"/>
                <w:bCs w:val="0"/>
              </w:rPr>
            </w:pPr>
          </w:p>
        </w:tc>
        <w:tc>
          <w:tcPr>
            <w:tcW w:w="3960" w:type="dxa"/>
          </w:tcPr>
          <w:p w14:paraId="6BCBC490"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c>
          <w:tcPr>
            <w:tcW w:w="2138" w:type="dxa"/>
          </w:tcPr>
          <w:p w14:paraId="0340ADD8"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r>
      <w:tr w:rsidR="00C6675D" w14:paraId="582B5051" w14:textId="22A9F41C" w:rsidTr="00C6675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965" w:type="dxa"/>
          </w:tcPr>
          <w:p w14:paraId="0C4F0F51" w14:textId="77777777" w:rsidR="00C6675D" w:rsidRPr="00DD2EE2" w:rsidRDefault="00C6675D" w:rsidP="004F5228">
            <w:pPr>
              <w:rPr>
                <w:b w:val="0"/>
                <w:bCs w:val="0"/>
              </w:rPr>
            </w:pPr>
          </w:p>
        </w:tc>
        <w:tc>
          <w:tcPr>
            <w:tcW w:w="3960" w:type="dxa"/>
          </w:tcPr>
          <w:p w14:paraId="500B3EE3"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c>
          <w:tcPr>
            <w:tcW w:w="2138" w:type="dxa"/>
          </w:tcPr>
          <w:p w14:paraId="5A786799"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r>
      <w:tr w:rsidR="00C6675D" w14:paraId="75119919" w14:textId="305F8585" w:rsidTr="00C6675D">
        <w:trPr>
          <w:trHeight w:val="348"/>
        </w:trPr>
        <w:tc>
          <w:tcPr>
            <w:cnfStyle w:val="001000000000" w:firstRow="0" w:lastRow="0" w:firstColumn="1" w:lastColumn="0" w:oddVBand="0" w:evenVBand="0" w:oddHBand="0" w:evenHBand="0" w:firstRowFirstColumn="0" w:firstRowLastColumn="0" w:lastRowFirstColumn="0" w:lastRowLastColumn="0"/>
            <w:tcW w:w="2965" w:type="dxa"/>
          </w:tcPr>
          <w:p w14:paraId="10B5174F" w14:textId="77777777" w:rsidR="00C6675D" w:rsidRPr="00AC7546" w:rsidRDefault="00C6675D" w:rsidP="004F5228">
            <w:pPr>
              <w:rPr>
                <w:b w:val="0"/>
                <w:bCs w:val="0"/>
                <w:i/>
                <w:iCs/>
              </w:rPr>
            </w:pPr>
          </w:p>
        </w:tc>
        <w:tc>
          <w:tcPr>
            <w:tcW w:w="3960" w:type="dxa"/>
          </w:tcPr>
          <w:p w14:paraId="0E4BEA0C"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c>
          <w:tcPr>
            <w:tcW w:w="2138" w:type="dxa"/>
          </w:tcPr>
          <w:p w14:paraId="115E989E"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r>
      <w:tr w:rsidR="00C6675D" w14:paraId="565D2D92" w14:textId="0BEAC717" w:rsidTr="00C6675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965" w:type="dxa"/>
          </w:tcPr>
          <w:p w14:paraId="3F2B3AA9" w14:textId="77777777" w:rsidR="00C6675D" w:rsidRPr="00AC7546" w:rsidRDefault="00C6675D" w:rsidP="004F5228">
            <w:pPr>
              <w:rPr>
                <w:b w:val="0"/>
                <w:bCs w:val="0"/>
                <w:i/>
                <w:iCs/>
              </w:rPr>
            </w:pPr>
          </w:p>
        </w:tc>
        <w:tc>
          <w:tcPr>
            <w:tcW w:w="3960" w:type="dxa"/>
          </w:tcPr>
          <w:p w14:paraId="7876327E"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c>
          <w:tcPr>
            <w:tcW w:w="2138" w:type="dxa"/>
          </w:tcPr>
          <w:p w14:paraId="697C0874"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r>
      <w:tr w:rsidR="00C6675D" w14:paraId="71245AD8" w14:textId="7F8CE441" w:rsidTr="00C6675D">
        <w:trPr>
          <w:trHeight w:val="348"/>
        </w:trPr>
        <w:tc>
          <w:tcPr>
            <w:cnfStyle w:val="001000000000" w:firstRow="0" w:lastRow="0" w:firstColumn="1" w:lastColumn="0" w:oddVBand="0" w:evenVBand="0" w:oddHBand="0" w:evenHBand="0" w:firstRowFirstColumn="0" w:firstRowLastColumn="0" w:lastRowFirstColumn="0" w:lastRowLastColumn="0"/>
            <w:tcW w:w="2965" w:type="dxa"/>
          </w:tcPr>
          <w:p w14:paraId="4FAA154D" w14:textId="77777777" w:rsidR="00C6675D" w:rsidRPr="00AC7546" w:rsidRDefault="00C6675D" w:rsidP="004F5228">
            <w:pPr>
              <w:rPr>
                <w:b w:val="0"/>
                <w:bCs w:val="0"/>
                <w:i/>
                <w:iCs/>
              </w:rPr>
            </w:pPr>
          </w:p>
        </w:tc>
        <w:tc>
          <w:tcPr>
            <w:tcW w:w="3960" w:type="dxa"/>
          </w:tcPr>
          <w:p w14:paraId="4B000DF4"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c>
          <w:tcPr>
            <w:tcW w:w="2138" w:type="dxa"/>
          </w:tcPr>
          <w:p w14:paraId="5C242175"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r>
      <w:tr w:rsidR="00C6675D" w14:paraId="473CE72F" w14:textId="169E25A0" w:rsidTr="00C6675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965" w:type="dxa"/>
          </w:tcPr>
          <w:p w14:paraId="1ABE0C67" w14:textId="77777777" w:rsidR="00C6675D" w:rsidRPr="00AC7546" w:rsidRDefault="00C6675D" w:rsidP="004F5228">
            <w:pPr>
              <w:rPr>
                <w:b w:val="0"/>
                <w:bCs w:val="0"/>
                <w:i/>
                <w:iCs/>
              </w:rPr>
            </w:pPr>
          </w:p>
        </w:tc>
        <w:tc>
          <w:tcPr>
            <w:tcW w:w="3960" w:type="dxa"/>
          </w:tcPr>
          <w:p w14:paraId="07EE8FAE"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c>
          <w:tcPr>
            <w:tcW w:w="2138" w:type="dxa"/>
          </w:tcPr>
          <w:p w14:paraId="660ACBE4"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r>
      <w:tr w:rsidR="00C6675D" w14:paraId="54589F35" w14:textId="0AEB05BA" w:rsidTr="00C6675D">
        <w:trPr>
          <w:trHeight w:val="348"/>
        </w:trPr>
        <w:tc>
          <w:tcPr>
            <w:cnfStyle w:val="001000000000" w:firstRow="0" w:lastRow="0" w:firstColumn="1" w:lastColumn="0" w:oddVBand="0" w:evenVBand="0" w:oddHBand="0" w:evenHBand="0" w:firstRowFirstColumn="0" w:firstRowLastColumn="0" w:lastRowFirstColumn="0" w:lastRowLastColumn="0"/>
            <w:tcW w:w="2965" w:type="dxa"/>
          </w:tcPr>
          <w:p w14:paraId="067DCB7F" w14:textId="77777777" w:rsidR="00C6675D" w:rsidRPr="00AC7546" w:rsidRDefault="00C6675D" w:rsidP="004F5228">
            <w:pPr>
              <w:rPr>
                <w:b w:val="0"/>
                <w:bCs w:val="0"/>
                <w:i/>
                <w:iCs/>
              </w:rPr>
            </w:pPr>
          </w:p>
        </w:tc>
        <w:tc>
          <w:tcPr>
            <w:tcW w:w="3960" w:type="dxa"/>
          </w:tcPr>
          <w:p w14:paraId="22F47D50"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c>
          <w:tcPr>
            <w:tcW w:w="2138" w:type="dxa"/>
          </w:tcPr>
          <w:p w14:paraId="1878260E"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r>
      <w:tr w:rsidR="00C6675D" w14:paraId="57CE9723" w14:textId="51C9F005" w:rsidTr="00C6675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965" w:type="dxa"/>
          </w:tcPr>
          <w:p w14:paraId="66E08FF7" w14:textId="77777777" w:rsidR="00C6675D" w:rsidRDefault="00C6675D" w:rsidP="004F5228">
            <w:pPr>
              <w:rPr>
                <w:b w:val="0"/>
                <w:bCs w:val="0"/>
              </w:rPr>
            </w:pPr>
          </w:p>
        </w:tc>
        <w:tc>
          <w:tcPr>
            <w:tcW w:w="3960" w:type="dxa"/>
          </w:tcPr>
          <w:p w14:paraId="4FFFDD28"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c>
          <w:tcPr>
            <w:tcW w:w="2138" w:type="dxa"/>
          </w:tcPr>
          <w:p w14:paraId="25D42CFC" w14:textId="77777777" w:rsidR="00C6675D" w:rsidRDefault="00C6675D" w:rsidP="004F5228">
            <w:pPr>
              <w:cnfStyle w:val="000000100000" w:firstRow="0" w:lastRow="0" w:firstColumn="0" w:lastColumn="0" w:oddVBand="0" w:evenVBand="0" w:oddHBand="1" w:evenHBand="0" w:firstRowFirstColumn="0" w:firstRowLastColumn="0" w:lastRowFirstColumn="0" w:lastRowLastColumn="0"/>
            </w:pPr>
          </w:p>
        </w:tc>
      </w:tr>
      <w:tr w:rsidR="00C6675D" w14:paraId="4EBD2074" w14:textId="5008D508" w:rsidTr="00C6675D">
        <w:trPr>
          <w:trHeight w:val="348"/>
        </w:trPr>
        <w:tc>
          <w:tcPr>
            <w:cnfStyle w:val="001000000000" w:firstRow="0" w:lastRow="0" w:firstColumn="1" w:lastColumn="0" w:oddVBand="0" w:evenVBand="0" w:oddHBand="0" w:evenHBand="0" w:firstRowFirstColumn="0" w:firstRowLastColumn="0" w:lastRowFirstColumn="0" w:lastRowLastColumn="0"/>
            <w:tcW w:w="2965" w:type="dxa"/>
          </w:tcPr>
          <w:p w14:paraId="2B890085" w14:textId="77777777" w:rsidR="00C6675D" w:rsidRDefault="00C6675D" w:rsidP="004F5228">
            <w:pPr>
              <w:rPr>
                <w:b w:val="0"/>
                <w:bCs w:val="0"/>
              </w:rPr>
            </w:pPr>
          </w:p>
        </w:tc>
        <w:tc>
          <w:tcPr>
            <w:tcW w:w="3960" w:type="dxa"/>
          </w:tcPr>
          <w:p w14:paraId="41E5A9E2" w14:textId="77777777" w:rsidR="00C6675D" w:rsidRDefault="00C6675D" w:rsidP="004F5228">
            <w:pPr>
              <w:cnfStyle w:val="000000000000" w:firstRow="0" w:lastRow="0" w:firstColumn="0" w:lastColumn="0" w:oddVBand="0" w:evenVBand="0" w:oddHBand="0" w:evenHBand="0" w:firstRowFirstColumn="0" w:firstRowLastColumn="0" w:lastRowFirstColumn="0" w:lastRowLastColumn="0"/>
            </w:pPr>
          </w:p>
        </w:tc>
        <w:tc>
          <w:tcPr>
            <w:tcW w:w="2138" w:type="dxa"/>
          </w:tcPr>
          <w:p w14:paraId="22B32C74" w14:textId="77777777" w:rsidR="00C6675D" w:rsidRPr="00AC7546" w:rsidRDefault="00C6675D" w:rsidP="004F5228">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 w:val="20"/>
                <w:szCs w:val="20"/>
                <w:shd w:val="clear" w:color="auto" w:fill="FFFFFF"/>
              </w:rPr>
            </w:pPr>
          </w:p>
        </w:tc>
      </w:tr>
    </w:tbl>
    <w:p w14:paraId="4892D277" w14:textId="77777777" w:rsidR="0090551D" w:rsidRPr="00806A92" w:rsidRDefault="0090551D" w:rsidP="0090551D"/>
    <w:p w14:paraId="736B7905" w14:textId="77777777" w:rsidR="004F0B11" w:rsidRDefault="004F0B11"/>
    <w:p w14:paraId="363DE9D8" w14:textId="77777777" w:rsidR="004F0B11" w:rsidRDefault="004F0B11"/>
    <w:p w14:paraId="50A291F6" w14:textId="77777777" w:rsidR="004F0B11" w:rsidRDefault="004F0B11"/>
    <w:p w14:paraId="6155616E" w14:textId="77777777" w:rsidR="004F0B11" w:rsidRDefault="004F0B11"/>
    <w:p w14:paraId="26C669BA" w14:textId="77777777" w:rsidR="004F0B11" w:rsidRDefault="004F0B11"/>
    <w:p w14:paraId="4741041C" w14:textId="77777777" w:rsidR="004F0B11" w:rsidRDefault="004F0B11"/>
    <w:p w14:paraId="6909221A" w14:textId="77777777" w:rsidR="004F0B11" w:rsidRDefault="004F0B11"/>
    <w:p w14:paraId="01F20A01" w14:textId="77777777" w:rsidR="004F0B11" w:rsidRDefault="004F0B11"/>
    <w:p w14:paraId="05A7B6B7" w14:textId="77777777" w:rsidR="004F0B11" w:rsidRDefault="004F0B11"/>
    <w:p w14:paraId="696C5C52" w14:textId="2BA9E4CF" w:rsidR="00DF600F" w:rsidRDefault="00DF600F">
      <w:pPr>
        <w:rPr>
          <w:sz w:val="32"/>
          <w:szCs w:val="32"/>
        </w:rPr>
      </w:pPr>
    </w:p>
    <w:p w14:paraId="48F05E8E" w14:textId="77777777" w:rsidR="00BA7F21" w:rsidRPr="00BA7F21" w:rsidRDefault="00BA7F21"/>
    <w:p w14:paraId="5BC3D2C5" w14:textId="77777777" w:rsidR="00DF600F" w:rsidRDefault="00DF600F" w:rsidP="007548E7">
      <w:pPr>
        <w:pStyle w:val="Heading2"/>
      </w:pPr>
      <w:r>
        <w:br w:type="page"/>
      </w:r>
    </w:p>
    <w:p w14:paraId="72F4C132" w14:textId="5899138F" w:rsidR="007548E7" w:rsidRPr="003D6A81" w:rsidRDefault="007548E7" w:rsidP="007548E7">
      <w:pPr>
        <w:pStyle w:val="Heading2"/>
      </w:pPr>
      <w:r>
        <w:lastRenderedPageBreak/>
        <w:t xml:space="preserve">Appendix C: </w:t>
      </w:r>
      <w:r w:rsidR="00CB0A3E">
        <w:t>Standard Operating Procedures</w:t>
      </w:r>
    </w:p>
    <w:p w14:paraId="2BD8EC4D" w14:textId="77777777" w:rsidR="003D15E9" w:rsidRDefault="003D15E9" w:rsidP="003559F4"/>
    <w:p w14:paraId="35EBC6E7" w14:textId="313A69E1" w:rsidR="003D15E9" w:rsidRDefault="003D15E9" w:rsidP="003D15E9">
      <w:pPr>
        <w:spacing w:after="0" w:line="240" w:lineRule="auto"/>
        <w:rPr>
          <w:rFonts w:eastAsia="Times" w:cs="Arial"/>
        </w:rPr>
      </w:pPr>
    </w:p>
    <w:p w14:paraId="28FCAE0A" w14:textId="00AD6C2F" w:rsidR="003D15E9" w:rsidRDefault="003D15E9" w:rsidP="003D15E9">
      <w:pPr>
        <w:spacing w:after="0" w:line="240" w:lineRule="auto"/>
        <w:rPr>
          <w:rFonts w:eastAsia="Times" w:cs="Arial"/>
        </w:rPr>
      </w:pPr>
    </w:p>
    <w:p w14:paraId="181C038B" w14:textId="05C0B561" w:rsidR="003D15E9" w:rsidRDefault="003D15E9" w:rsidP="003D15E9">
      <w:pPr>
        <w:spacing w:after="0" w:line="240" w:lineRule="auto"/>
        <w:rPr>
          <w:rFonts w:eastAsia="Times" w:cs="Arial"/>
        </w:rPr>
      </w:pPr>
    </w:p>
    <w:p w14:paraId="4CFB0CF6" w14:textId="562D1CD5" w:rsidR="003D15E9" w:rsidRDefault="003D15E9" w:rsidP="003D15E9">
      <w:pPr>
        <w:spacing w:after="0" w:line="240" w:lineRule="auto"/>
        <w:rPr>
          <w:rFonts w:eastAsia="Times" w:cs="Arial"/>
        </w:rPr>
      </w:pPr>
    </w:p>
    <w:p w14:paraId="1BB80946" w14:textId="7E487980" w:rsidR="003D15E9" w:rsidRDefault="003D15E9" w:rsidP="003D15E9">
      <w:pPr>
        <w:spacing w:after="0" w:line="240" w:lineRule="auto"/>
        <w:rPr>
          <w:rFonts w:eastAsia="Times" w:cs="Arial"/>
        </w:rPr>
      </w:pPr>
    </w:p>
    <w:p w14:paraId="3D6A10BF" w14:textId="291142EF" w:rsidR="003D15E9" w:rsidRDefault="003D15E9" w:rsidP="003D15E9">
      <w:pPr>
        <w:spacing w:after="0" w:line="240" w:lineRule="auto"/>
        <w:rPr>
          <w:rFonts w:eastAsia="Times" w:cs="Arial"/>
        </w:rPr>
      </w:pPr>
    </w:p>
    <w:p w14:paraId="1641929C" w14:textId="6CA21E98" w:rsidR="003D15E9" w:rsidRDefault="003D15E9" w:rsidP="003D15E9">
      <w:pPr>
        <w:spacing w:after="0" w:line="240" w:lineRule="auto"/>
        <w:rPr>
          <w:rFonts w:eastAsia="Times" w:cs="Arial"/>
        </w:rPr>
      </w:pPr>
    </w:p>
    <w:p w14:paraId="227CA8B4" w14:textId="2360C20E" w:rsidR="003D15E9" w:rsidRDefault="003D15E9" w:rsidP="003D15E9">
      <w:pPr>
        <w:spacing w:after="0" w:line="240" w:lineRule="auto"/>
        <w:rPr>
          <w:rFonts w:eastAsia="Times" w:cs="Arial"/>
        </w:rPr>
      </w:pPr>
    </w:p>
    <w:p w14:paraId="5201638F" w14:textId="1A5541F0" w:rsidR="003D15E9" w:rsidRDefault="003D15E9" w:rsidP="003D15E9">
      <w:pPr>
        <w:spacing w:after="0" w:line="240" w:lineRule="auto"/>
        <w:rPr>
          <w:rFonts w:eastAsia="Times" w:cs="Arial"/>
        </w:rPr>
      </w:pPr>
    </w:p>
    <w:p w14:paraId="53CF579F" w14:textId="54615AE2" w:rsidR="003D15E9" w:rsidRDefault="003D15E9" w:rsidP="003D15E9">
      <w:pPr>
        <w:spacing w:after="0" w:line="240" w:lineRule="auto"/>
        <w:rPr>
          <w:rFonts w:eastAsia="Times" w:cs="Arial"/>
        </w:rPr>
      </w:pPr>
    </w:p>
    <w:p w14:paraId="35E86E10" w14:textId="30D32D1C" w:rsidR="003D15E9" w:rsidRDefault="003D15E9" w:rsidP="003D15E9">
      <w:pPr>
        <w:spacing w:after="0" w:line="240" w:lineRule="auto"/>
        <w:rPr>
          <w:rFonts w:eastAsia="Times" w:cs="Arial"/>
        </w:rPr>
      </w:pPr>
    </w:p>
    <w:p w14:paraId="30766816" w14:textId="4983D076" w:rsidR="003D15E9" w:rsidRDefault="003D15E9" w:rsidP="003D15E9">
      <w:pPr>
        <w:spacing w:after="0" w:line="240" w:lineRule="auto"/>
        <w:rPr>
          <w:rFonts w:eastAsia="Times" w:cs="Arial"/>
        </w:rPr>
      </w:pPr>
    </w:p>
    <w:p w14:paraId="60E108BF" w14:textId="341964F9" w:rsidR="003D15E9" w:rsidRDefault="003D15E9" w:rsidP="003D15E9">
      <w:pPr>
        <w:spacing w:after="0" w:line="240" w:lineRule="auto"/>
        <w:rPr>
          <w:rFonts w:eastAsia="Times" w:cs="Arial"/>
        </w:rPr>
      </w:pPr>
    </w:p>
    <w:p w14:paraId="4D437946" w14:textId="309063F3" w:rsidR="003D15E9" w:rsidRDefault="003D15E9" w:rsidP="003D15E9">
      <w:pPr>
        <w:spacing w:after="0" w:line="240" w:lineRule="auto"/>
        <w:rPr>
          <w:rFonts w:eastAsia="Times" w:cs="Arial"/>
        </w:rPr>
      </w:pPr>
    </w:p>
    <w:p w14:paraId="2E571BDF" w14:textId="5ED5157F" w:rsidR="003D15E9" w:rsidRDefault="003D15E9" w:rsidP="003D15E9">
      <w:pPr>
        <w:spacing w:after="0" w:line="240" w:lineRule="auto"/>
        <w:rPr>
          <w:rFonts w:eastAsia="Times" w:cs="Arial"/>
        </w:rPr>
      </w:pPr>
    </w:p>
    <w:p w14:paraId="2FA6A106" w14:textId="267C2EA2" w:rsidR="003D15E9" w:rsidRDefault="003D15E9" w:rsidP="003D15E9">
      <w:pPr>
        <w:spacing w:after="0" w:line="240" w:lineRule="auto"/>
        <w:rPr>
          <w:rFonts w:eastAsia="Times" w:cs="Arial"/>
        </w:rPr>
      </w:pPr>
    </w:p>
    <w:p w14:paraId="0515D353" w14:textId="3158BBCB" w:rsidR="003D15E9" w:rsidRDefault="003D15E9" w:rsidP="003D15E9">
      <w:pPr>
        <w:spacing w:after="0" w:line="240" w:lineRule="auto"/>
        <w:rPr>
          <w:rFonts w:eastAsia="Times" w:cs="Arial"/>
        </w:rPr>
      </w:pPr>
    </w:p>
    <w:p w14:paraId="34292DC5" w14:textId="2ACD9BEF" w:rsidR="003D15E9" w:rsidRDefault="003D15E9" w:rsidP="003D15E9">
      <w:pPr>
        <w:spacing w:after="0" w:line="240" w:lineRule="auto"/>
        <w:rPr>
          <w:rFonts w:eastAsia="Times" w:cs="Arial"/>
        </w:rPr>
      </w:pPr>
    </w:p>
    <w:p w14:paraId="2CE3F099" w14:textId="3F91F014" w:rsidR="003D15E9" w:rsidRDefault="003D15E9" w:rsidP="003D15E9">
      <w:pPr>
        <w:spacing w:after="0" w:line="240" w:lineRule="auto"/>
        <w:rPr>
          <w:rFonts w:eastAsia="Times" w:cs="Arial"/>
        </w:rPr>
      </w:pPr>
    </w:p>
    <w:p w14:paraId="5CB40894" w14:textId="01BA0364" w:rsidR="003D15E9" w:rsidRDefault="003D15E9" w:rsidP="003D15E9">
      <w:pPr>
        <w:spacing w:after="0" w:line="240" w:lineRule="auto"/>
        <w:rPr>
          <w:rFonts w:eastAsia="Times" w:cs="Arial"/>
        </w:rPr>
      </w:pPr>
    </w:p>
    <w:p w14:paraId="5820BCD6" w14:textId="7AF94FB5" w:rsidR="003D15E9" w:rsidRDefault="003D15E9" w:rsidP="003D15E9">
      <w:pPr>
        <w:spacing w:after="0" w:line="240" w:lineRule="auto"/>
        <w:rPr>
          <w:rFonts w:eastAsia="Times" w:cs="Arial"/>
        </w:rPr>
      </w:pPr>
    </w:p>
    <w:p w14:paraId="4973CE29" w14:textId="7AB8DB06" w:rsidR="003D15E9" w:rsidRDefault="003D15E9" w:rsidP="003D15E9">
      <w:pPr>
        <w:spacing w:after="0" w:line="240" w:lineRule="auto"/>
        <w:rPr>
          <w:rFonts w:eastAsia="Times" w:cs="Arial"/>
        </w:rPr>
      </w:pPr>
    </w:p>
    <w:p w14:paraId="20B7771C" w14:textId="39611F73" w:rsidR="003D15E9" w:rsidRDefault="003D15E9" w:rsidP="003D15E9">
      <w:pPr>
        <w:spacing w:after="0" w:line="240" w:lineRule="auto"/>
        <w:rPr>
          <w:rFonts w:eastAsia="Times" w:cs="Arial"/>
        </w:rPr>
      </w:pPr>
    </w:p>
    <w:p w14:paraId="5E00540B" w14:textId="4DA51EF5" w:rsidR="003D15E9" w:rsidRDefault="003D15E9" w:rsidP="003D15E9">
      <w:pPr>
        <w:spacing w:after="0" w:line="240" w:lineRule="auto"/>
        <w:rPr>
          <w:rFonts w:eastAsia="Times" w:cs="Arial"/>
        </w:rPr>
      </w:pPr>
    </w:p>
    <w:p w14:paraId="52A18B99" w14:textId="1A754A52" w:rsidR="003D15E9" w:rsidRDefault="003D15E9" w:rsidP="003D15E9">
      <w:pPr>
        <w:spacing w:after="0" w:line="240" w:lineRule="auto"/>
        <w:rPr>
          <w:rFonts w:eastAsia="Times" w:cs="Arial"/>
        </w:rPr>
      </w:pPr>
    </w:p>
    <w:p w14:paraId="20B0E82F" w14:textId="3DC815FC" w:rsidR="003D15E9" w:rsidRDefault="003D15E9" w:rsidP="003D15E9">
      <w:pPr>
        <w:spacing w:after="0" w:line="240" w:lineRule="auto"/>
        <w:rPr>
          <w:rFonts w:eastAsia="Times" w:cs="Arial"/>
        </w:rPr>
      </w:pPr>
    </w:p>
    <w:p w14:paraId="40004641" w14:textId="6594000E" w:rsidR="003D15E9" w:rsidRDefault="003D15E9" w:rsidP="003D15E9">
      <w:pPr>
        <w:spacing w:after="0" w:line="240" w:lineRule="auto"/>
        <w:rPr>
          <w:rFonts w:eastAsia="Times" w:cs="Arial"/>
        </w:rPr>
      </w:pPr>
    </w:p>
    <w:p w14:paraId="77796857" w14:textId="07A4BBB5" w:rsidR="003D15E9" w:rsidRDefault="003D15E9" w:rsidP="003D15E9">
      <w:pPr>
        <w:spacing w:after="0" w:line="240" w:lineRule="auto"/>
        <w:rPr>
          <w:rFonts w:eastAsia="Times" w:cs="Arial"/>
        </w:rPr>
      </w:pPr>
    </w:p>
    <w:p w14:paraId="55C1CA05" w14:textId="067015A9" w:rsidR="003D15E9" w:rsidRDefault="003D15E9" w:rsidP="003D15E9">
      <w:pPr>
        <w:spacing w:after="0" w:line="240" w:lineRule="auto"/>
        <w:rPr>
          <w:rFonts w:eastAsia="Times" w:cs="Arial"/>
        </w:rPr>
      </w:pPr>
    </w:p>
    <w:p w14:paraId="14FBA0D4" w14:textId="1455B3D8" w:rsidR="003D15E9" w:rsidRDefault="003D15E9" w:rsidP="003D15E9">
      <w:pPr>
        <w:spacing w:after="0" w:line="240" w:lineRule="auto"/>
        <w:rPr>
          <w:rFonts w:eastAsia="Times" w:cs="Arial"/>
        </w:rPr>
      </w:pPr>
    </w:p>
    <w:p w14:paraId="36E11C3E" w14:textId="750547E5" w:rsidR="003D15E9" w:rsidRDefault="003D15E9" w:rsidP="003D15E9">
      <w:pPr>
        <w:spacing w:after="0" w:line="240" w:lineRule="auto"/>
        <w:rPr>
          <w:rFonts w:eastAsia="Times" w:cs="Arial"/>
        </w:rPr>
      </w:pPr>
    </w:p>
    <w:p w14:paraId="66A40012" w14:textId="3CA39153" w:rsidR="003D15E9" w:rsidRDefault="003D15E9" w:rsidP="003D15E9">
      <w:pPr>
        <w:spacing w:after="0" w:line="240" w:lineRule="auto"/>
        <w:rPr>
          <w:rFonts w:eastAsia="Times" w:cs="Arial"/>
        </w:rPr>
      </w:pPr>
    </w:p>
    <w:p w14:paraId="00A8D986" w14:textId="4B166FFF" w:rsidR="005C0645" w:rsidRDefault="00C6675D" w:rsidP="00C6675D">
      <w:pPr>
        <w:pStyle w:val="Heading2"/>
        <w:rPr>
          <w:rFonts w:cs="Arial"/>
        </w:rPr>
      </w:pPr>
      <w:r>
        <w:rPr>
          <w:rFonts w:cs="Arial"/>
        </w:rPr>
        <w:t xml:space="preserve"> </w:t>
      </w:r>
    </w:p>
    <w:p w14:paraId="36D35ADC" w14:textId="65517FDD" w:rsidR="00F17558" w:rsidRDefault="00F17558" w:rsidP="00F17558"/>
    <w:p w14:paraId="02A3283E" w14:textId="484B75AA" w:rsidR="00F17558" w:rsidRDefault="00F17558" w:rsidP="00F17558"/>
    <w:p w14:paraId="11EDDBDF" w14:textId="6D18ADB6" w:rsidR="00F17558" w:rsidRDefault="00F17558" w:rsidP="00F17558"/>
    <w:p w14:paraId="66CD05B1" w14:textId="62604AC3" w:rsidR="00F17558" w:rsidRDefault="00F17558" w:rsidP="00F17558"/>
    <w:p w14:paraId="23211786" w14:textId="47902CBF" w:rsidR="00F17558" w:rsidRDefault="00F17558" w:rsidP="00F17558"/>
    <w:p w14:paraId="011176A7" w14:textId="1601A14A" w:rsidR="00F17558" w:rsidRDefault="00F17558" w:rsidP="00F17558"/>
    <w:p w14:paraId="57954556" w14:textId="1491D517" w:rsidR="00F17558" w:rsidRDefault="00F17558" w:rsidP="00F17558"/>
    <w:p w14:paraId="39A8913F" w14:textId="12D8F914" w:rsidR="00F17558" w:rsidRDefault="00F17558" w:rsidP="00F17558"/>
    <w:p w14:paraId="28D829EB" w14:textId="07CCD1F3" w:rsidR="00F17558" w:rsidRDefault="00F17558" w:rsidP="00F17558"/>
    <w:p w14:paraId="0AB18832" w14:textId="77777777" w:rsidR="00F17558" w:rsidRPr="003D6A81" w:rsidRDefault="00F17558" w:rsidP="00F17558">
      <w:pPr>
        <w:pStyle w:val="Heading2"/>
      </w:pPr>
      <w:r>
        <w:lastRenderedPageBreak/>
        <w:t>Appendix D: Incidents/Comments log</w:t>
      </w:r>
    </w:p>
    <w:p w14:paraId="57C29884" w14:textId="77777777" w:rsidR="00F17558" w:rsidRDefault="00F17558" w:rsidP="00F17558">
      <w:pPr>
        <w:spacing w:after="0" w:line="240" w:lineRule="auto"/>
        <w:rPr>
          <w:rFonts w:eastAsia="Times" w:cs="Arial"/>
        </w:rPr>
      </w:pPr>
    </w:p>
    <w:p w14:paraId="5F61DC30" w14:textId="77777777" w:rsidR="00F17558" w:rsidRDefault="00F17558" w:rsidP="00F17558">
      <w:pPr>
        <w:spacing w:after="0" w:line="240" w:lineRule="auto"/>
        <w:rPr>
          <w:rFonts w:eastAsia="Times" w:cs="Arial"/>
        </w:rPr>
      </w:pPr>
    </w:p>
    <w:p w14:paraId="48490E48" w14:textId="77777777" w:rsidR="00F17558" w:rsidRDefault="00F17558" w:rsidP="00F17558">
      <w:pPr>
        <w:spacing w:after="0" w:line="240" w:lineRule="auto"/>
        <w:rPr>
          <w:rFonts w:eastAsia="Times" w:cs="Arial"/>
        </w:rPr>
      </w:pPr>
    </w:p>
    <w:tbl>
      <w:tblPr>
        <w:tblStyle w:val="GridTable4-Accent3"/>
        <w:tblW w:w="0" w:type="auto"/>
        <w:tblLayout w:type="fixed"/>
        <w:tblLook w:val="04A0" w:firstRow="1" w:lastRow="0" w:firstColumn="1" w:lastColumn="0" w:noHBand="0" w:noVBand="1"/>
      </w:tblPr>
      <w:tblGrid>
        <w:gridCol w:w="1054"/>
        <w:gridCol w:w="1348"/>
        <w:gridCol w:w="1920"/>
        <w:gridCol w:w="1553"/>
        <w:gridCol w:w="1523"/>
        <w:gridCol w:w="1952"/>
      </w:tblGrid>
      <w:tr w:rsidR="00F17558" w:rsidRPr="00886751" w14:paraId="3CA8C403" w14:textId="77777777" w:rsidTr="00820DEA">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54" w:type="dxa"/>
            <w:tcBorders>
              <w:right w:val="single" w:sz="4" w:space="0" w:color="auto"/>
            </w:tcBorders>
          </w:tcPr>
          <w:p w14:paraId="35B5A8C3" w14:textId="77777777" w:rsidR="00F17558" w:rsidRPr="00DE05B3" w:rsidRDefault="00F17558" w:rsidP="00820DEA">
            <w:pPr>
              <w:pStyle w:val="Header"/>
              <w:rPr>
                <w:bCs w:val="0"/>
                <w:color w:val="000000" w:themeColor="text1"/>
              </w:rPr>
            </w:pPr>
            <w:r>
              <w:rPr>
                <w:color w:val="000000" w:themeColor="text1"/>
              </w:rPr>
              <w:t>Date:</w:t>
            </w:r>
          </w:p>
        </w:tc>
        <w:tc>
          <w:tcPr>
            <w:tcW w:w="1348" w:type="dxa"/>
            <w:tcBorders>
              <w:left w:val="single" w:sz="4" w:space="0" w:color="auto"/>
              <w:right w:val="single" w:sz="4" w:space="0" w:color="auto"/>
            </w:tcBorders>
          </w:tcPr>
          <w:p w14:paraId="15181B0E" w14:textId="77777777" w:rsidR="00F17558" w:rsidRPr="006F66C9" w:rsidRDefault="00F17558" w:rsidP="00820DE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Pr>
                <w:color w:val="000000" w:themeColor="text1"/>
              </w:rPr>
              <w:t>Location:</w:t>
            </w:r>
          </w:p>
        </w:tc>
        <w:tc>
          <w:tcPr>
            <w:tcW w:w="1920" w:type="dxa"/>
            <w:tcBorders>
              <w:left w:val="single" w:sz="4" w:space="0" w:color="auto"/>
            </w:tcBorders>
          </w:tcPr>
          <w:p w14:paraId="58D2B63C" w14:textId="77777777" w:rsidR="00F17558" w:rsidRPr="00886751" w:rsidRDefault="00F17558" w:rsidP="00820DEA">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Incident/Finding</w:t>
            </w:r>
          </w:p>
        </w:tc>
        <w:tc>
          <w:tcPr>
            <w:tcW w:w="1553" w:type="dxa"/>
            <w:tcBorders>
              <w:left w:val="single" w:sz="4" w:space="0" w:color="auto"/>
            </w:tcBorders>
          </w:tcPr>
          <w:p w14:paraId="26A606F2" w14:textId="77777777" w:rsidR="00F17558" w:rsidRPr="00CA5C73" w:rsidRDefault="00F17558" w:rsidP="00820DEA">
            <w:pPr>
              <w:cnfStyle w:val="100000000000" w:firstRow="1" w:lastRow="0" w:firstColumn="0" w:lastColumn="0" w:oddVBand="0" w:evenVBand="0" w:oddHBand="0" w:evenHBand="0" w:firstRowFirstColumn="0" w:firstRowLastColumn="0" w:lastRowFirstColumn="0" w:lastRowLastColumn="0"/>
              <w:rPr>
                <w:color w:val="000000" w:themeColor="text1"/>
              </w:rPr>
            </w:pPr>
            <w:r w:rsidRPr="00CA5C73">
              <w:rPr>
                <w:color w:val="000000" w:themeColor="text1"/>
              </w:rPr>
              <w:t xml:space="preserve">Personnel </w:t>
            </w:r>
          </w:p>
        </w:tc>
        <w:tc>
          <w:tcPr>
            <w:tcW w:w="1523" w:type="dxa"/>
            <w:tcBorders>
              <w:left w:val="single" w:sz="4" w:space="0" w:color="auto"/>
            </w:tcBorders>
          </w:tcPr>
          <w:p w14:paraId="4A654203" w14:textId="77777777" w:rsidR="00F17558" w:rsidRDefault="00F17558" w:rsidP="00820DEA">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F66C9">
              <w:rPr>
                <w:color w:val="000000" w:themeColor="text1"/>
              </w:rPr>
              <w:t>Recorded by:</w:t>
            </w:r>
          </w:p>
          <w:p w14:paraId="29A24D99" w14:textId="77777777" w:rsidR="00F17558" w:rsidRPr="006F66C9" w:rsidRDefault="00F17558" w:rsidP="00820DEA">
            <w:pPr>
              <w:cnfStyle w:val="100000000000" w:firstRow="1" w:lastRow="0" w:firstColumn="0" w:lastColumn="0" w:oddVBand="0" w:evenVBand="0" w:oddHBand="0" w:evenHBand="0" w:firstRowFirstColumn="0" w:firstRowLastColumn="0" w:lastRowFirstColumn="0" w:lastRowLastColumn="0"/>
              <w:rPr>
                <w:color w:val="000000" w:themeColor="text1"/>
              </w:rPr>
            </w:pPr>
          </w:p>
        </w:tc>
        <w:tc>
          <w:tcPr>
            <w:tcW w:w="1952" w:type="dxa"/>
            <w:tcBorders>
              <w:left w:val="single" w:sz="4" w:space="0" w:color="auto"/>
            </w:tcBorders>
          </w:tcPr>
          <w:p w14:paraId="5287BE9F" w14:textId="77777777" w:rsidR="00F17558" w:rsidRDefault="00F17558" w:rsidP="00820DEA">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Active or </w:t>
            </w:r>
            <w:proofErr w:type="gramStart"/>
            <w:r>
              <w:rPr>
                <w:color w:val="000000" w:themeColor="text1"/>
              </w:rPr>
              <w:t>Closed</w:t>
            </w:r>
            <w:proofErr w:type="gramEnd"/>
          </w:p>
        </w:tc>
      </w:tr>
      <w:tr w:rsidR="00F17558" w14:paraId="109C5D34" w14:textId="77777777" w:rsidTr="00820DE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054" w:type="dxa"/>
          </w:tcPr>
          <w:p w14:paraId="3174704C" w14:textId="77777777" w:rsidR="00F17558" w:rsidRDefault="00F17558" w:rsidP="00820DEA"/>
        </w:tc>
        <w:tc>
          <w:tcPr>
            <w:tcW w:w="1348" w:type="dxa"/>
          </w:tcPr>
          <w:p w14:paraId="5B04D8D7"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20" w:type="dxa"/>
            <w:tcBorders>
              <w:right w:val="single" w:sz="4" w:space="0" w:color="auto"/>
            </w:tcBorders>
          </w:tcPr>
          <w:p w14:paraId="63FFAA03"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53" w:type="dxa"/>
            <w:tcBorders>
              <w:right w:val="single" w:sz="4" w:space="0" w:color="auto"/>
            </w:tcBorders>
          </w:tcPr>
          <w:p w14:paraId="622A233C"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23" w:type="dxa"/>
            <w:tcBorders>
              <w:left w:val="single" w:sz="4" w:space="0" w:color="auto"/>
            </w:tcBorders>
          </w:tcPr>
          <w:p w14:paraId="05968F17"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52" w:type="dxa"/>
          </w:tcPr>
          <w:p w14:paraId="7BFC141B"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r>
      <w:tr w:rsidR="00F17558" w14:paraId="05D22D39" w14:textId="77777777" w:rsidTr="00820DEA">
        <w:trPr>
          <w:trHeight w:val="329"/>
        </w:trPr>
        <w:tc>
          <w:tcPr>
            <w:cnfStyle w:val="001000000000" w:firstRow="0" w:lastRow="0" w:firstColumn="1" w:lastColumn="0" w:oddVBand="0" w:evenVBand="0" w:oddHBand="0" w:evenHBand="0" w:firstRowFirstColumn="0" w:firstRowLastColumn="0" w:lastRowFirstColumn="0" w:lastRowLastColumn="0"/>
            <w:tcW w:w="1054" w:type="dxa"/>
          </w:tcPr>
          <w:p w14:paraId="59B03E13" w14:textId="77777777" w:rsidR="00F17558" w:rsidRDefault="00F17558" w:rsidP="00820DEA"/>
        </w:tc>
        <w:tc>
          <w:tcPr>
            <w:tcW w:w="1348" w:type="dxa"/>
          </w:tcPr>
          <w:p w14:paraId="594A42DB"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20" w:type="dxa"/>
            <w:tcBorders>
              <w:right w:val="single" w:sz="4" w:space="0" w:color="auto"/>
            </w:tcBorders>
          </w:tcPr>
          <w:p w14:paraId="10F3B13D"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53" w:type="dxa"/>
            <w:tcBorders>
              <w:right w:val="single" w:sz="4" w:space="0" w:color="auto"/>
            </w:tcBorders>
          </w:tcPr>
          <w:p w14:paraId="6FE3374A"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23" w:type="dxa"/>
            <w:tcBorders>
              <w:left w:val="single" w:sz="4" w:space="0" w:color="auto"/>
            </w:tcBorders>
          </w:tcPr>
          <w:p w14:paraId="7ACD12AE"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52" w:type="dxa"/>
          </w:tcPr>
          <w:p w14:paraId="2852A6B5"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r>
      <w:tr w:rsidR="00F17558" w14:paraId="2D5B0750" w14:textId="77777777" w:rsidTr="00820DE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054" w:type="dxa"/>
          </w:tcPr>
          <w:p w14:paraId="6B1D9169" w14:textId="77777777" w:rsidR="00F17558" w:rsidRPr="00EC0318" w:rsidRDefault="00F17558" w:rsidP="00820DEA">
            <w:pPr>
              <w:rPr>
                <w:b w:val="0"/>
                <w:bCs w:val="0"/>
              </w:rPr>
            </w:pPr>
          </w:p>
        </w:tc>
        <w:tc>
          <w:tcPr>
            <w:tcW w:w="1348" w:type="dxa"/>
          </w:tcPr>
          <w:p w14:paraId="686061B4"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20" w:type="dxa"/>
            <w:tcBorders>
              <w:right w:val="single" w:sz="4" w:space="0" w:color="auto"/>
            </w:tcBorders>
          </w:tcPr>
          <w:p w14:paraId="54911A45"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53" w:type="dxa"/>
            <w:tcBorders>
              <w:right w:val="single" w:sz="4" w:space="0" w:color="auto"/>
            </w:tcBorders>
          </w:tcPr>
          <w:p w14:paraId="5DA9A7C6"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23" w:type="dxa"/>
            <w:tcBorders>
              <w:left w:val="single" w:sz="4" w:space="0" w:color="auto"/>
            </w:tcBorders>
          </w:tcPr>
          <w:p w14:paraId="5096478C"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52" w:type="dxa"/>
          </w:tcPr>
          <w:p w14:paraId="30439FED"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r>
      <w:tr w:rsidR="00F17558" w14:paraId="52A2ED64" w14:textId="77777777" w:rsidTr="00820DEA">
        <w:trPr>
          <w:trHeight w:val="349"/>
        </w:trPr>
        <w:tc>
          <w:tcPr>
            <w:cnfStyle w:val="001000000000" w:firstRow="0" w:lastRow="0" w:firstColumn="1" w:lastColumn="0" w:oddVBand="0" w:evenVBand="0" w:oddHBand="0" w:evenHBand="0" w:firstRowFirstColumn="0" w:firstRowLastColumn="0" w:lastRowFirstColumn="0" w:lastRowLastColumn="0"/>
            <w:tcW w:w="1054" w:type="dxa"/>
          </w:tcPr>
          <w:p w14:paraId="18345517" w14:textId="77777777" w:rsidR="00F17558" w:rsidRPr="00EC0318" w:rsidRDefault="00F17558" w:rsidP="00820DEA">
            <w:pPr>
              <w:rPr>
                <w:b w:val="0"/>
                <w:bCs w:val="0"/>
              </w:rPr>
            </w:pPr>
          </w:p>
        </w:tc>
        <w:tc>
          <w:tcPr>
            <w:tcW w:w="1348" w:type="dxa"/>
          </w:tcPr>
          <w:p w14:paraId="2AB122B5"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20" w:type="dxa"/>
            <w:tcBorders>
              <w:right w:val="single" w:sz="4" w:space="0" w:color="auto"/>
            </w:tcBorders>
          </w:tcPr>
          <w:p w14:paraId="688D3AF0"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53" w:type="dxa"/>
            <w:tcBorders>
              <w:right w:val="single" w:sz="4" w:space="0" w:color="auto"/>
            </w:tcBorders>
          </w:tcPr>
          <w:p w14:paraId="0D1B0A71"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23" w:type="dxa"/>
            <w:tcBorders>
              <w:left w:val="single" w:sz="4" w:space="0" w:color="auto"/>
            </w:tcBorders>
          </w:tcPr>
          <w:p w14:paraId="616C5130"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52" w:type="dxa"/>
          </w:tcPr>
          <w:p w14:paraId="13738ADD"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r>
      <w:tr w:rsidR="00F17558" w14:paraId="1AD2EEF1" w14:textId="77777777" w:rsidTr="00820DE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54" w:type="dxa"/>
          </w:tcPr>
          <w:p w14:paraId="4F79FC81" w14:textId="77777777" w:rsidR="00F17558" w:rsidRPr="00B86D24" w:rsidRDefault="00F17558" w:rsidP="00820DEA">
            <w:pPr>
              <w:rPr>
                <w:b w:val="0"/>
                <w:bCs w:val="0"/>
              </w:rPr>
            </w:pPr>
          </w:p>
        </w:tc>
        <w:tc>
          <w:tcPr>
            <w:tcW w:w="1348" w:type="dxa"/>
          </w:tcPr>
          <w:p w14:paraId="15D8BF47" w14:textId="77777777" w:rsidR="00F17558" w:rsidRPr="00B86D24" w:rsidRDefault="00F17558" w:rsidP="00820DEA">
            <w:pPr>
              <w:cnfStyle w:val="000000100000" w:firstRow="0" w:lastRow="0" w:firstColumn="0" w:lastColumn="0" w:oddVBand="0" w:evenVBand="0" w:oddHBand="1" w:evenHBand="0" w:firstRowFirstColumn="0" w:firstRowLastColumn="0" w:lastRowFirstColumn="0" w:lastRowLastColumn="0"/>
            </w:pPr>
          </w:p>
        </w:tc>
        <w:tc>
          <w:tcPr>
            <w:tcW w:w="1920" w:type="dxa"/>
            <w:tcBorders>
              <w:right w:val="single" w:sz="4" w:space="0" w:color="auto"/>
            </w:tcBorders>
          </w:tcPr>
          <w:p w14:paraId="372EB52D" w14:textId="77777777" w:rsidR="00F17558" w:rsidRPr="0070320D" w:rsidRDefault="00F17558" w:rsidP="00820DEA">
            <w:pPr>
              <w:cnfStyle w:val="000000100000" w:firstRow="0" w:lastRow="0" w:firstColumn="0" w:lastColumn="0" w:oddVBand="0" w:evenVBand="0" w:oddHBand="1" w:evenHBand="0" w:firstRowFirstColumn="0" w:firstRowLastColumn="0" w:lastRowFirstColumn="0" w:lastRowLastColumn="0"/>
              <w:rPr>
                <w:color w:val="EDEDED" w:themeColor="accent3" w:themeTint="33"/>
              </w:rPr>
            </w:pPr>
          </w:p>
        </w:tc>
        <w:tc>
          <w:tcPr>
            <w:tcW w:w="1553" w:type="dxa"/>
            <w:tcBorders>
              <w:right w:val="single" w:sz="4" w:space="0" w:color="auto"/>
            </w:tcBorders>
          </w:tcPr>
          <w:p w14:paraId="15E94389" w14:textId="77777777" w:rsidR="00F17558" w:rsidRPr="0070320D" w:rsidRDefault="00F17558" w:rsidP="00820DEA">
            <w:pPr>
              <w:cnfStyle w:val="000000100000" w:firstRow="0" w:lastRow="0" w:firstColumn="0" w:lastColumn="0" w:oddVBand="0" w:evenVBand="0" w:oddHBand="1" w:evenHBand="0" w:firstRowFirstColumn="0" w:firstRowLastColumn="0" w:lastRowFirstColumn="0" w:lastRowLastColumn="0"/>
              <w:rPr>
                <w:color w:val="EDEDED" w:themeColor="accent3" w:themeTint="33"/>
              </w:rPr>
            </w:pPr>
          </w:p>
        </w:tc>
        <w:tc>
          <w:tcPr>
            <w:tcW w:w="1523" w:type="dxa"/>
            <w:tcBorders>
              <w:left w:val="single" w:sz="4" w:space="0" w:color="auto"/>
            </w:tcBorders>
          </w:tcPr>
          <w:p w14:paraId="30D09D7C" w14:textId="77777777" w:rsidR="00F17558" w:rsidRPr="0070320D" w:rsidRDefault="00F17558" w:rsidP="00820DEA">
            <w:pPr>
              <w:cnfStyle w:val="000000100000" w:firstRow="0" w:lastRow="0" w:firstColumn="0" w:lastColumn="0" w:oddVBand="0" w:evenVBand="0" w:oddHBand="1" w:evenHBand="0" w:firstRowFirstColumn="0" w:firstRowLastColumn="0" w:lastRowFirstColumn="0" w:lastRowLastColumn="0"/>
              <w:rPr>
                <w:color w:val="EDEDED" w:themeColor="accent3" w:themeTint="33"/>
              </w:rPr>
            </w:pPr>
          </w:p>
        </w:tc>
        <w:tc>
          <w:tcPr>
            <w:tcW w:w="1952" w:type="dxa"/>
          </w:tcPr>
          <w:p w14:paraId="4E367929" w14:textId="77777777" w:rsidR="00F17558" w:rsidRPr="0070320D" w:rsidRDefault="00F17558" w:rsidP="00820DEA">
            <w:pPr>
              <w:cnfStyle w:val="000000100000" w:firstRow="0" w:lastRow="0" w:firstColumn="0" w:lastColumn="0" w:oddVBand="0" w:evenVBand="0" w:oddHBand="1" w:evenHBand="0" w:firstRowFirstColumn="0" w:firstRowLastColumn="0" w:lastRowFirstColumn="0" w:lastRowLastColumn="0"/>
              <w:rPr>
                <w:color w:val="EDEDED" w:themeColor="accent3" w:themeTint="33"/>
              </w:rPr>
            </w:pPr>
          </w:p>
        </w:tc>
      </w:tr>
      <w:tr w:rsidR="00F17558" w14:paraId="5C89F4BF" w14:textId="77777777" w:rsidTr="00820DEA">
        <w:trPr>
          <w:trHeight w:val="349"/>
        </w:trPr>
        <w:tc>
          <w:tcPr>
            <w:cnfStyle w:val="001000000000" w:firstRow="0" w:lastRow="0" w:firstColumn="1" w:lastColumn="0" w:oddVBand="0" w:evenVBand="0" w:oddHBand="0" w:evenHBand="0" w:firstRowFirstColumn="0" w:firstRowLastColumn="0" w:lastRowFirstColumn="0" w:lastRowLastColumn="0"/>
            <w:tcW w:w="1054" w:type="dxa"/>
          </w:tcPr>
          <w:p w14:paraId="29254D3F" w14:textId="77777777" w:rsidR="00F17558" w:rsidRPr="00DD2EE2" w:rsidRDefault="00F17558" w:rsidP="00820DEA">
            <w:pPr>
              <w:rPr>
                <w:b w:val="0"/>
                <w:bCs w:val="0"/>
              </w:rPr>
            </w:pPr>
          </w:p>
        </w:tc>
        <w:tc>
          <w:tcPr>
            <w:tcW w:w="1348" w:type="dxa"/>
          </w:tcPr>
          <w:p w14:paraId="17113E7C"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20" w:type="dxa"/>
            <w:tcBorders>
              <w:right w:val="single" w:sz="4" w:space="0" w:color="auto"/>
            </w:tcBorders>
          </w:tcPr>
          <w:p w14:paraId="0B96D14C"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53" w:type="dxa"/>
            <w:tcBorders>
              <w:right w:val="single" w:sz="4" w:space="0" w:color="auto"/>
            </w:tcBorders>
          </w:tcPr>
          <w:p w14:paraId="33E81791"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23" w:type="dxa"/>
            <w:tcBorders>
              <w:left w:val="single" w:sz="4" w:space="0" w:color="auto"/>
            </w:tcBorders>
          </w:tcPr>
          <w:p w14:paraId="69DCF009"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52" w:type="dxa"/>
          </w:tcPr>
          <w:p w14:paraId="5BF18BB8"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r>
      <w:tr w:rsidR="00F17558" w14:paraId="59E45675" w14:textId="77777777" w:rsidTr="00820DE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54" w:type="dxa"/>
          </w:tcPr>
          <w:p w14:paraId="337F3A99" w14:textId="77777777" w:rsidR="00F17558" w:rsidRPr="00DD2EE2" w:rsidRDefault="00F17558" w:rsidP="00820DEA">
            <w:pPr>
              <w:rPr>
                <w:b w:val="0"/>
                <w:bCs w:val="0"/>
              </w:rPr>
            </w:pPr>
          </w:p>
        </w:tc>
        <w:tc>
          <w:tcPr>
            <w:tcW w:w="1348" w:type="dxa"/>
          </w:tcPr>
          <w:p w14:paraId="32F7D90C"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20" w:type="dxa"/>
            <w:tcBorders>
              <w:right w:val="single" w:sz="4" w:space="0" w:color="auto"/>
            </w:tcBorders>
          </w:tcPr>
          <w:p w14:paraId="694E768D"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53" w:type="dxa"/>
            <w:tcBorders>
              <w:right w:val="single" w:sz="4" w:space="0" w:color="auto"/>
            </w:tcBorders>
          </w:tcPr>
          <w:p w14:paraId="0226ED39"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23" w:type="dxa"/>
            <w:tcBorders>
              <w:left w:val="single" w:sz="4" w:space="0" w:color="auto"/>
            </w:tcBorders>
          </w:tcPr>
          <w:p w14:paraId="2A6749B3"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52" w:type="dxa"/>
          </w:tcPr>
          <w:p w14:paraId="57830F07"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r>
      <w:tr w:rsidR="00F17558" w14:paraId="24E04851" w14:textId="77777777" w:rsidTr="00820DEA">
        <w:trPr>
          <w:trHeight w:val="349"/>
        </w:trPr>
        <w:tc>
          <w:tcPr>
            <w:cnfStyle w:val="001000000000" w:firstRow="0" w:lastRow="0" w:firstColumn="1" w:lastColumn="0" w:oddVBand="0" w:evenVBand="0" w:oddHBand="0" w:evenHBand="0" w:firstRowFirstColumn="0" w:firstRowLastColumn="0" w:lastRowFirstColumn="0" w:lastRowLastColumn="0"/>
            <w:tcW w:w="1054" w:type="dxa"/>
          </w:tcPr>
          <w:p w14:paraId="27D5BB52" w14:textId="77777777" w:rsidR="00F17558" w:rsidRPr="00AC7546" w:rsidRDefault="00F17558" w:rsidP="00820DEA">
            <w:pPr>
              <w:rPr>
                <w:b w:val="0"/>
                <w:bCs w:val="0"/>
                <w:i/>
                <w:iCs/>
              </w:rPr>
            </w:pPr>
          </w:p>
        </w:tc>
        <w:tc>
          <w:tcPr>
            <w:tcW w:w="1348" w:type="dxa"/>
          </w:tcPr>
          <w:p w14:paraId="4D7FF315"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20" w:type="dxa"/>
            <w:tcBorders>
              <w:right w:val="single" w:sz="4" w:space="0" w:color="auto"/>
            </w:tcBorders>
          </w:tcPr>
          <w:p w14:paraId="409D529B"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53" w:type="dxa"/>
            <w:tcBorders>
              <w:right w:val="single" w:sz="4" w:space="0" w:color="auto"/>
            </w:tcBorders>
          </w:tcPr>
          <w:p w14:paraId="6E76E650"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23" w:type="dxa"/>
            <w:tcBorders>
              <w:left w:val="single" w:sz="4" w:space="0" w:color="auto"/>
            </w:tcBorders>
          </w:tcPr>
          <w:p w14:paraId="626E7B61"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52" w:type="dxa"/>
          </w:tcPr>
          <w:p w14:paraId="43801CDE"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r>
      <w:tr w:rsidR="00F17558" w14:paraId="5A0F25C2" w14:textId="77777777" w:rsidTr="00820DE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54" w:type="dxa"/>
          </w:tcPr>
          <w:p w14:paraId="4B4312D5" w14:textId="77777777" w:rsidR="00F17558" w:rsidRPr="00AC7546" w:rsidRDefault="00F17558" w:rsidP="00820DEA">
            <w:pPr>
              <w:rPr>
                <w:b w:val="0"/>
                <w:bCs w:val="0"/>
                <w:i/>
                <w:iCs/>
              </w:rPr>
            </w:pPr>
          </w:p>
        </w:tc>
        <w:tc>
          <w:tcPr>
            <w:tcW w:w="1348" w:type="dxa"/>
          </w:tcPr>
          <w:p w14:paraId="67365330"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20" w:type="dxa"/>
            <w:tcBorders>
              <w:right w:val="single" w:sz="4" w:space="0" w:color="auto"/>
            </w:tcBorders>
          </w:tcPr>
          <w:p w14:paraId="2A22422A"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53" w:type="dxa"/>
            <w:tcBorders>
              <w:right w:val="single" w:sz="4" w:space="0" w:color="auto"/>
            </w:tcBorders>
          </w:tcPr>
          <w:p w14:paraId="7F51040B"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23" w:type="dxa"/>
            <w:tcBorders>
              <w:left w:val="single" w:sz="4" w:space="0" w:color="auto"/>
            </w:tcBorders>
          </w:tcPr>
          <w:p w14:paraId="62152270"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52" w:type="dxa"/>
          </w:tcPr>
          <w:p w14:paraId="5FD71A0C"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r>
      <w:tr w:rsidR="00F17558" w14:paraId="3C3A29AC" w14:textId="77777777" w:rsidTr="00820DEA">
        <w:trPr>
          <w:trHeight w:val="349"/>
        </w:trPr>
        <w:tc>
          <w:tcPr>
            <w:cnfStyle w:val="001000000000" w:firstRow="0" w:lastRow="0" w:firstColumn="1" w:lastColumn="0" w:oddVBand="0" w:evenVBand="0" w:oddHBand="0" w:evenHBand="0" w:firstRowFirstColumn="0" w:firstRowLastColumn="0" w:lastRowFirstColumn="0" w:lastRowLastColumn="0"/>
            <w:tcW w:w="1054" w:type="dxa"/>
          </w:tcPr>
          <w:p w14:paraId="122876CB" w14:textId="77777777" w:rsidR="00F17558" w:rsidRPr="00AC7546" w:rsidRDefault="00F17558" w:rsidP="00820DEA">
            <w:pPr>
              <w:rPr>
                <w:b w:val="0"/>
                <w:bCs w:val="0"/>
                <w:i/>
                <w:iCs/>
              </w:rPr>
            </w:pPr>
          </w:p>
        </w:tc>
        <w:tc>
          <w:tcPr>
            <w:tcW w:w="1348" w:type="dxa"/>
          </w:tcPr>
          <w:p w14:paraId="35621221"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20" w:type="dxa"/>
            <w:tcBorders>
              <w:right w:val="single" w:sz="4" w:space="0" w:color="auto"/>
            </w:tcBorders>
          </w:tcPr>
          <w:p w14:paraId="0E5E414D"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53" w:type="dxa"/>
            <w:tcBorders>
              <w:right w:val="single" w:sz="4" w:space="0" w:color="auto"/>
            </w:tcBorders>
          </w:tcPr>
          <w:p w14:paraId="50FBDB1F"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23" w:type="dxa"/>
            <w:tcBorders>
              <w:left w:val="single" w:sz="4" w:space="0" w:color="auto"/>
            </w:tcBorders>
          </w:tcPr>
          <w:p w14:paraId="69121E48"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52" w:type="dxa"/>
          </w:tcPr>
          <w:p w14:paraId="7720B12E"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r>
      <w:tr w:rsidR="00F17558" w14:paraId="69760537" w14:textId="77777777" w:rsidTr="00820DE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54" w:type="dxa"/>
          </w:tcPr>
          <w:p w14:paraId="1E5D7DFC" w14:textId="77777777" w:rsidR="00F17558" w:rsidRPr="00AC7546" w:rsidRDefault="00F17558" w:rsidP="00820DEA">
            <w:pPr>
              <w:rPr>
                <w:b w:val="0"/>
                <w:bCs w:val="0"/>
                <w:i/>
                <w:iCs/>
              </w:rPr>
            </w:pPr>
          </w:p>
        </w:tc>
        <w:tc>
          <w:tcPr>
            <w:tcW w:w="1348" w:type="dxa"/>
          </w:tcPr>
          <w:p w14:paraId="03B6DF81"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20" w:type="dxa"/>
            <w:tcBorders>
              <w:right w:val="single" w:sz="4" w:space="0" w:color="auto"/>
            </w:tcBorders>
          </w:tcPr>
          <w:p w14:paraId="19A8F8C2"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53" w:type="dxa"/>
            <w:tcBorders>
              <w:right w:val="single" w:sz="4" w:space="0" w:color="auto"/>
            </w:tcBorders>
          </w:tcPr>
          <w:p w14:paraId="025BFA5B"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23" w:type="dxa"/>
            <w:tcBorders>
              <w:left w:val="single" w:sz="4" w:space="0" w:color="auto"/>
            </w:tcBorders>
          </w:tcPr>
          <w:p w14:paraId="1DA01A4D"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52" w:type="dxa"/>
          </w:tcPr>
          <w:p w14:paraId="221DBA05"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r>
      <w:tr w:rsidR="00F17558" w14:paraId="263DE86B" w14:textId="77777777" w:rsidTr="00820DEA">
        <w:trPr>
          <w:trHeight w:val="349"/>
        </w:trPr>
        <w:tc>
          <w:tcPr>
            <w:cnfStyle w:val="001000000000" w:firstRow="0" w:lastRow="0" w:firstColumn="1" w:lastColumn="0" w:oddVBand="0" w:evenVBand="0" w:oddHBand="0" w:evenHBand="0" w:firstRowFirstColumn="0" w:firstRowLastColumn="0" w:lastRowFirstColumn="0" w:lastRowLastColumn="0"/>
            <w:tcW w:w="1054" w:type="dxa"/>
          </w:tcPr>
          <w:p w14:paraId="6FB3000B" w14:textId="77777777" w:rsidR="00F17558" w:rsidRPr="00AC7546" w:rsidRDefault="00F17558" w:rsidP="00820DEA">
            <w:pPr>
              <w:rPr>
                <w:b w:val="0"/>
                <w:bCs w:val="0"/>
                <w:i/>
                <w:iCs/>
              </w:rPr>
            </w:pPr>
          </w:p>
        </w:tc>
        <w:tc>
          <w:tcPr>
            <w:tcW w:w="1348" w:type="dxa"/>
          </w:tcPr>
          <w:p w14:paraId="4115A9DF"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20" w:type="dxa"/>
            <w:tcBorders>
              <w:right w:val="single" w:sz="4" w:space="0" w:color="auto"/>
            </w:tcBorders>
          </w:tcPr>
          <w:p w14:paraId="77229DDC"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53" w:type="dxa"/>
            <w:tcBorders>
              <w:right w:val="single" w:sz="4" w:space="0" w:color="auto"/>
            </w:tcBorders>
          </w:tcPr>
          <w:p w14:paraId="060EF690"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523" w:type="dxa"/>
            <w:tcBorders>
              <w:left w:val="single" w:sz="4" w:space="0" w:color="auto"/>
            </w:tcBorders>
          </w:tcPr>
          <w:p w14:paraId="0715ACAF"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52" w:type="dxa"/>
          </w:tcPr>
          <w:p w14:paraId="658E7C28"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r>
      <w:tr w:rsidR="00F17558" w14:paraId="524BB40C" w14:textId="77777777" w:rsidTr="00820DE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54" w:type="dxa"/>
          </w:tcPr>
          <w:p w14:paraId="300A1B34" w14:textId="77777777" w:rsidR="00F17558" w:rsidRDefault="00F17558" w:rsidP="00820DEA">
            <w:pPr>
              <w:rPr>
                <w:b w:val="0"/>
                <w:bCs w:val="0"/>
              </w:rPr>
            </w:pPr>
          </w:p>
        </w:tc>
        <w:tc>
          <w:tcPr>
            <w:tcW w:w="1348" w:type="dxa"/>
          </w:tcPr>
          <w:p w14:paraId="0EC25490"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20" w:type="dxa"/>
            <w:tcBorders>
              <w:right w:val="single" w:sz="4" w:space="0" w:color="auto"/>
            </w:tcBorders>
          </w:tcPr>
          <w:p w14:paraId="5032D468"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53" w:type="dxa"/>
            <w:tcBorders>
              <w:right w:val="single" w:sz="4" w:space="0" w:color="auto"/>
            </w:tcBorders>
          </w:tcPr>
          <w:p w14:paraId="490B672F"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523" w:type="dxa"/>
            <w:tcBorders>
              <w:left w:val="single" w:sz="4" w:space="0" w:color="auto"/>
            </w:tcBorders>
          </w:tcPr>
          <w:p w14:paraId="558241E7"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c>
          <w:tcPr>
            <w:tcW w:w="1952" w:type="dxa"/>
          </w:tcPr>
          <w:p w14:paraId="01270DDE" w14:textId="77777777" w:rsidR="00F17558" w:rsidRDefault="00F17558" w:rsidP="00820DEA">
            <w:pPr>
              <w:cnfStyle w:val="000000100000" w:firstRow="0" w:lastRow="0" w:firstColumn="0" w:lastColumn="0" w:oddVBand="0" w:evenVBand="0" w:oddHBand="1" w:evenHBand="0" w:firstRowFirstColumn="0" w:firstRowLastColumn="0" w:lastRowFirstColumn="0" w:lastRowLastColumn="0"/>
            </w:pPr>
          </w:p>
        </w:tc>
      </w:tr>
      <w:tr w:rsidR="00F17558" w14:paraId="5A4FE9B7" w14:textId="77777777" w:rsidTr="00820DEA">
        <w:trPr>
          <w:trHeight w:val="349"/>
        </w:trPr>
        <w:tc>
          <w:tcPr>
            <w:cnfStyle w:val="001000000000" w:firstRow="0" w:lastRow="0" w:firstColumn="1" w:lastColumn="0" w:oddVBand="0" w:evenVBand="0" w:oddHBand="0" w:evenHBand="0" w:firstRowFirstColumn="0" w:firstRowLastColumn="0" w:lastRowFirstColumn="0" w:lastRowLastColumn="0"/>
            <w:tcW w:w="1054" w:type="dxa"/>
          </w:tcPr>
          <w:p w14:paraId="3D470541" w14:textId="77777777" w:rsidR="00F17558" w:rsidRDefault="00F17558" w:rsidP="00820DEA">
            <w:pPr>
              <w:rPr>
                <w:b w:val="0"/>
                <w:bCs w:val="0"/>
              </w:rPr>
            </w:pPr>
          </w:p>
        </w:tc>
        <w:tc>
          <w:tcPr>
            <w:tcW w:w="1348" w:type="dxa"/>
          </w:tcPr>
          <w:p w14:paraId="68A16C32" w14:textId="77777777" w:rsidR="00F17558" w:rsidRDefault="00F17558" w:rsidP="00820DEA">
            <w:pPr>
              <w:cnfStyle w:val="000000000000" w:firstRow="0" w:lastRow="0" w:firstColumn="0" w:lastColumn="0" w:oddVBand="0" w:evenVBand="0" w:oddHBand="0" w:evenHBand="0" w:firstRowFirstColumn="0" w:firstRowLastColumn="0" w:lastRowFirstColumn="0" w:lastRowLastColumn="0"/>
            </w:pPr>
          </w:p>
        </w:tc>
        <w:tc>
          <w:tcPr>
            <w:tcW w:w="1920" w:type="dxa"/>
            <w:tcBorders>
              <w:right w:val="single" w:sz="4" w:space="0" w:color="auto"/>
            </w:tcBorders>
          </w:tcPr>
          <w:p w14:paraId="13C0B559" w14:textId="77777777" w:rsidR="00F17558" w:rsidRPr="00AC7546" w:rsidRDefault="00F17558" w:rsidP="00820DEA">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 w:val="20"/>
                <w:szCs w:val="20"/>
                <w:shd w:val="clear" w:color="auto" w:fill="FFFFFF"/>
              </w:rPr>
            </w:pPr>
          </w:p>
        </w:tc>
        <w:tc>
          <w:tcPr>
            <w:tcW w:w="1553" w:type="dxa"/>
            <w:tcBorders>
              <w:right w:val="single" w:sz="4" w:space="0" w:color="auto"/>
            </w:tcBorders>
          </w:tcPr>
          <w:p w14:paraId="62F9E27C" w14:textId="77777777" w:rsidR="00F17558" w:rsidRPr="00AC7546" w:rsidRDefault="00F17558" w:rsidP="00820DEA">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 w:val="20"/>
                <w:szCs w:val="20"/>
                <w:shd w:val="clear" w:color="auto" w:fill="FFFFFF"/>
              </w:rPr>
            </w:pPr>
          </w:p>
        </w:tc>
        <w:tc>
          <w:tcPr>
            <w:tcW w:w="1523" w:type="dxa"/>
            <w:tcBorders>
              <w:left w:val="single" w:sz="4" w:space="0" w:color="auto"/>
            </w:tcBorders>
          </w:tcPr>
          <w:p w14:paraId="27729002" w14:textId="77777777" w:rsidR="00F17558" w:rsidRPr="00AC7546" w:rsidRDefault="00F17558" w:rsidP="00820DEA">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 w:val="20"/>
                <w:szCs w:val="20"/>
                <w:shd w:val="clear" w:color="auto" w:fill="FFFFFF"/>
              </w:rPr>
            </w:pPr>
          </w:p>
        </w:tc>
        <w:tc>
          <w:tcPr>
            <w:tcW w:w="1952" w:type="dxa"/>
          </w:tcPr>
          <w:p w14:paraId="710B51D9" w14:textId="77777777" w:rsidR="00F17558" w:rsidRPr="00AC7546" w:rsidRDefault="00F17558" w:rsidP="00820DEA">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 w:val="20"/>
                <w:szCs w:val="20"/>
                <w:shd w:val="clear" w:color="auto" w:fill="FFFFFF"/>
              </w:rPr>
            </w:pPr>
          </w:p>
        </w:tc>
      </w:tr>
    </w:tbl>
    <w:p w14:paraId="579F05E2" w14:textId="77777777" w:rsidR="00F17558" w:rsidRPr="00F17558" w:rsidRDefault="00F17558" w:rsidP="00F17558"/>
    <w:sectPr w:rsidR="00F17558" w:rsidRPr="00F17558" w:rsidSect="00810180">
      <w:headerReference w:type="default" r:id="rId54"/>
      <w:footerReference w:type="default" r:id="rId55"/>
      <w:headerReference w:type="first" r:id="rId56"/>
      <w:footerReference w:type="first" r:id="rId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8541" w14:textId="77777777" w:rsidR="005D35B1" w:rsidRDefault="005D35B1" w:rsidP="00E54E51">
      <w:pPr>
        <w:spacing w:after="0" w:line="240" w:lineRule="auto"/>
      </w:pPr>
      <w:r>
        <w:separator/>
      </w:r>
    </w:p>
  </w:endnote>
  <w:endnote w:type="continuationSeparator" w:id="0">
    <w:p w14:paraId="7B95047E" w14:textId="77777777" w:rsidR="005D35B1" w:rsidRDefault="005D35B1" w:rsidP="00E54E51">
      <w:pPr>
        <w:spacing w:after="0" w:line="240" w:lineRule="auto"/>
      </w:pPr>
      <w:r>
        <w:continuationSeparator/>
      </w:r>
    </w:p>
  </w:endnote>
  <w:endnote w:type="continuationNotice" w:id="1">
    <w:p w14:paraId="357253FD" w14:textId="77777777" w:rsidR="005D35B1" w:rsidRDefault="005D3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F1D4" w14:textId="77777777" w:rsidR="00C6675D" w:rsidRDefault="00C6675D">
    <w:pPr>
      <w:pStyle w:val="Footer"/>
    </w:pPr>
  </w:p>
  <w:p w14:paraId="4B5CFA00" w14:textId="7DFF323C" w:rsidR="00C97AFE" w:rsidRDefault="005C3436">
    <w:pPr>
      <w:pStyle w:val="Footer"/>
      <w:rPr>
        <w:noProof/>
      </w:rPr>
    </w:pPr>
    <w:r>
      <w:t xml:space="preserve">Version 1, </w:t>
    </w:r>
    <w:r w:rsidR="00C6675D">
      <w:t>202</w:t>
    </w:r>
    <w:r>
      <w:t>3</w:t>
    </w:r>
    <w:r w:rsidR="00C97AFE">
      <w:ptab w:relativeTo="margin" w:alignment="center" w:leader="none"/>
    </w:r>
    <w:r w:rsidR="00C97AFE">
      <w:t>Laboratory Safety Manual</w:t>
    </w:r>
    <w:r w:rsidR="00C97AFE">
      <w:ptab w:relativeTo="margin" w:alignment="right" w:leader="none"/>
    </w:r>
    <w:r w:rsidR="00C97AFE">
      <w:t xml:space="preserve">Page | </w:t>
    </w:r>
    <w:r w:rsidR="00C97AFE">
      <w:fldChar w:fldCharType="begin"/>
    </w:r>
    <w:r w:rsidR="00C97AFE">
      <w:instrText xml:space="preserve"> PAGE   \* MERGEFORMAT </w:instrText>
    </w:r>
    <w:r w:rsidR="00C97AFE">
      <w:fldChar w:fldCharType="separate"/>
    </w:r>
    <w:r w:rsidR="00C97AFE">
      <w:rPr>
        <w:noProof/>
      </w:rPr>
      <w:t>1</w:t>
    </w:r>
    <w:r w:rsidR="00C97AFE">
      <w:rPr>
        <w:noProof/>
      </w:rPr>
      <w:fldChar w:fldCharType="end"/>
    </w:r>
  </w:p>
  <w:p w14:paraId="48EF9FA0" w14:textId="3B5ABAA4" w:rsidR="00C97AFE" w:rsidRDefault="00C97AFE">
    <w:pPr>
      <w:pStyle w:val="Footer"/>
    </w:pPr>
    <w:r>
      <w:rPr>
        <w:noProof/>
      </w:rPr>
      <w:tab/>
    </w:r>
    <w:r>
      <w:t>BSL-2</w:t>
    </w:r>
    <w:r w:rsidR="005C3436">
      <w:t xml:space="preserve"> &amp; 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Layout w:type="fixed"/>
      <w:tblLook w:val="06A0" w:firstRow="1" w:lastRow="0" w:firstColumn="1" w:lastColumn="0" w:noHBand="1" w:noVBand="1"/>
    </w:tblPr>
    <w:tblGrid>
      <w:gridCol w:w="3120"/>
      <w:gridCol w:w="3120"/>
      <w:gridCol w:w="3120"/>
    </w:tblGrid>
    <w:tr w:rsidR="00C97AFE" w14:paraId="0B592E74" w14:textId="77777777" w:rsidTr="00772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4F7E1DB" w14:textId="54D7DE57" w:rsidR="00C97AFE" w:rsidRDefault="00C97AFE" w:rsidP="00DE05B3">
          <w:pPr>
            <w:pStyle w:val="Header"/>
            <w:ind w:left="-115"/>
          </w:pPr>
        </w:p>
      </w:tc>
      <w:tc>
        <w:tcPr>
          <w:tcW w:w="3120" w:type="dxa"/>
        </w:tcPr>
        <w:p w14:paraId="48776823" w14:textId="258DDAC1" w:rsidR="00C97AFE" w:rsidRDefault="00C97AFE" w:rsidP="00DE05B3">
          <w:pPr>
            <w:pStyle w:val="Header"/>
            <w:jc w:val="center"/>
            <w:cnfStyle w:val="100000000000" w:firstRow="1" w:lastRow="0" w:firstColumn="0" w:lastColumn="0" w:oddVBand="0" w:evenVBand="0" w:oddHBand="0" w:evenHBand="0" w:firstRowFirstColumn="0" w:firstRowLastColumn="0" w:lastRowFirstColumn="0" w:lastRowLastColumn="0"/>
          </w:pPr>
        </w:p>
      </w:tc>
      <w:tc>
        <w:tcPr>
          <w:tcW w:w="3120" w:type="dxa"/>
        </w:tcPr>
        <w:p w14:paraId="5A263A19" w14:textId="30C0B233" w:rsidR="00C97AFE" w:rsidRDefault="00C97AFE" w:rsidP="00DE05B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B899AE1" w14:textId="3EDD5CFD" w:rsidR="00C97AFE" w:rsidRDefault="00C97AFE" w:rsidP="00757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BE50" w14:textId="77777777" w:rsidR="005D35B1" w:rsidRDefault="005D35B1" w:rsidP="00E54E51">
      <w:pPr>
        <w:spacing w:after="0" w:line="240" w:lineRule="auto"/>
      </w:pPr>
      <w:r>
        <w:separator/>
      </w:r>
    </w:p>
  </w:footnote>
  <w:footnote w:type="continuationSeparator" w:id="0">
    <w:p w14:paraId="0AFEE070" w14:textId="77777777" w:rsidR="005D35B1" w:rsidRDefault="005D35B1" w:rsidP="00E54E51">
      <w:pPr>
        <w:spacing w:after="0" w:line="240" w:lineRule="auto"/>
      </w:pPr>
      <w:r>
        <w:continuationSeparator/>
      </w:r>
    </w:p>
  </w:footnote>
  <w:footnote w:type="continuationNotice" w:id="1">
    <w:p w14:paraId="4283EADF" w14:textId="77777777" w:rsidR="005D35B1" w:rsidRDefault="005D3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C5CA" w14:textId="77777777" w:rsidR="00C97AFE" w:rsidRDefault="00C97AFE">
    <w:pPr>
      <w:pStyle w:val="Header"/>
    </w:pPr>
    <w:r w:rsidRPr="00E54E51">
      <w:t xml:space="preserve"> </w:t>
    </w:r>
    <w:r>
      <w:rPr>
        <w:noProof/>
      </w:rPr>
      <w:drawing>
        <wp:anchor distT="0" distB="0" distL="114300" distR="114300" simplePos="0" relativeHeight="251658240" behindDoc="1" locked="0" layoutInCell="1" allowOverlap="1" wp14:anchorId="2F75554D" wp14:editId="7D4400E1">
          <wp:simplePos x="942975" y="457200"/>
          <wp:positionH relativeFrom="margin">
            <wp:align>right</wp:align>
          </wp:positionH>
          <wp:positionV relativeFrom="paragraph">
            <wp:posOffset>0</wp:posOffset>
          </wp:positionV>
          <wp:extent cx="2560320" cy="393192"/>
          <wp:effectExtent l="0" t="0" r="0" b="6985"/>
          <wp:wrapTight wrapText="left">
            <wp:wrapPolygon edited="0">
              <wp:start x="0" y="0"/>
              <wp:lineTo x="0" y="20937"/>
              <wp:lineTo x="15911" y="20937"/>
              <wp:lineTo x="21375" y="14656"/>
              <wp:lineTo x="21375" y="6281"/>
              <wp:lineTo x="4661"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393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8A86F" w14:textId="0712878F" w:rsidR="00C97AFE" w:rsidRDefault="00C97AFE">
    <w:pPr>
      <w:pStyle w:val="Header"/>
    </w:pPr>
    <w:r>
      <w:tab/>
    </w:r>
    <w:r>
      <w:ptab w:relativeTo="margin" w:alignment="right" w:leader="none"/>
    </w:r>
  </w:p>
  <w:p w14:paraId="6CE72F6B" w14:textId="77777777" w:rsidR="00C97AFE" w:rsidRDefault="00C97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C781" w14:textId="77777777" w:rsidR="00C97AFE" w:rsidRDefault="00C97AFE">
    <w:pPr>
      <w:pStyle w:val="Header"/>
    </w:pPr>
    <w:r>
      <w:rPr>
        <w:noProof/>
      </w:rPr>
      <w:drawing>
        <wp:anchor distT="0" distB="0" distL="114300" distR="114300" simplePos="0" relativeHeight="251658241" behindDoc="0" locked="0" layoutInCell="1" allowOverlap="1" wp14:anchorId="5B286472" wp14:editId="34E2A549">
          <wp:simplePos x="914400" y="457200"/>
          <wp:positionH relativeFrom="column">
            <wp:align>center</wp:align>
          </wp:positionH>
          <wp:positionV relativeFrom="paragraph">
            <wp:posOffset>0</wp:posOffset>
          </wp:positionV>
          <wp:extent cx="3721608" cy="576072"/>
          <wp:effectExtent l="0" t="0" r="0" b="0"/>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608" cy="5760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DEC"/>
    <w:multiLevelType w:val="hybridMultilevel"/>
    <w:tmpl w:val="792619A2"/>
    <w:lvl w:ilvl="0" w:tplc="DC46E1B4">
      <w:start w:val="1"/>
      <w:numFmt w:val="decimal"/>
      <w:lvlText w:val="%1."/>
      <w:lvlJc w:val="left"/>
      <w:pPr>
        <w:tabs>
          <w:tab w:val="num" w:pos="720"/>
        </w:tabs>
        <w:ind w:left="720" w:hanging="360"/>
      </w:pPr>
      <w:rPr>
        <w:rFonts w:ascii="Arial" w:hAnsi="Arial" w:cs="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F6711"/>
    <w:multiLevelType w:val="multilevel"/>
    <w:tmpl w:val="1C3C749A"/>
    <w:styleLink w:val="Style1"/>
    <w:lvl w:ilvl="0">
      <w:start w:val="1"/>
      <w:numFmt w:val="none"/>
      <w:lvlText w:val="3.1"/>
      <w:lvlJc w:val="left"/>
      <w:pPr>
        <w:ind w:left="720" w:hanging="720"/>
      </w:pPr>
      <w:rPr>
        <w:rFonts w:ascii="Arial" w:hAnsi="Arial" w:hint="default"/>
      </w:rPr>
    </w:lvl>
    <w:lvl w:ilvl="1">
      <w:start w:val="1"/>
      <w:numFmt w:val="none"/>
      <w:lvlText w:val="3.1.1"/>
      <w:lvlJc w:val="left"/>
      <w:pPr>
        <w:ind w:left="1440" w:hanging="720"/>
      </w:pPr>
      <w:rPr>
        <w:rFonts w:hint="default"/>
      </w:rPr>
    </w:lvl>
    <w:lvl w:ilvl="2">
      <w:start w:val="1"/>
      <w:numFmt w:val="none"/>
      <w:lvlText w:val="3.1.2"/>
      <w:lvlJc w:val="left"/>
      <w:pPr>
        <w:tabs>
          <w:tab w:val="num" w:pos="2160"/>
        </w:tabs>
        <w:ind w:left="2160" w:hanging="720"/>
      </w:pPr>
      <w:rPr>
        <w:rFonts w:hint="default"/>
      </w:rPr>
    </w:lvl>
    <w:lvl w:ilvl="3">
      <w:start w:val="1"/>
      <w:numFmt w:val="decimal"/>
      <w:lvlText w:val="%13.1.3."/>
      <w:lvlJc w:val="left"/>
      <w:pPr>
        <w:tabs>
          <w:tab w:val="num" w:pos="3240"/>
        </w:tabs>
        <w:ind w:left="3240" w:hanging="1080"/>
      </w:pPr>
      <w:rPr>
        <w:rFonts w:hint="default"/>
      </w:rPr>
    </w:lvl>
    <w:lvl w:ilvl="4">
      <w:start w:val="1"/>
      <w:numFmt w:val="none"/>
      <w:lvlText w:val=""/>
      <w:lvlJc w:val="left"/>
      <w:pPr>
        <w:tabs>
          <w:tab w:val="num" w:pos="4320"/>
        </w:tabs>
        <w:ind w:left="4320" w:hanging="1440"/>
      </w:pPr>
      <w:rPr>
        <w:rFonts w:hint="default"/>
      </w:rPr>
    </w:lvl>
    <w:lvl w:ilvl="5">
      <w:start w:val="1"/>
      <w:numFmt w:val="decimal"/>
      <w:lvlText w:val="%1"/>
      <w:lvlJc w:val="left"/>
      <w:pPr>
        <w:tabs>
          <w:tab w:val="num" w:pos="5040"/>
        </w:tabs>
        <w:ind w:left="5040" w:hanging="1440"/>
      </w:pPr>
      <w:rPr>
        <w:rFonts w:hint="default"/>
      </w:rPr>
    </w:lvl>
    <w:lvl w:ilvl="6">
      <w:start w:val="1"/>
      <w:numFmt w:val="decimal"/>
      <w:lvlText w:val="%1"/>
      <w:lvlJc w:val="left"/>
      <w:pPr>
        <w:tabs>
          <w:tab w:val="num" w:pos="6120"/>
        </w:tabs>
        <w:ind w:left="6120" w:hanging="1800"/>
      </w:pPr>
      <w:rPr>
        <w:rFonts w:hint="default"/>
      </w:rPr>
    </w:lvl>
    <w:lvl w:ilvl="7">
      <w:start w:val="1"/>
      <w:numFmt w:val="decimal"/>
      <w:lvlText w:val="%1"/>
      <w:lvlJc w:val="left"/>
      <w:pPr>
        <w:tabs>
          <w:tab w:val="num" w:pos="7200"/>
        </w:tabs>
        <w:ind w:left="7200" w:hanging="2160"/>
      </w:pPr>
      <w:rPr>
        <w:rFonts w:hint="default"/>
      </w:rPr>
    </w:lvl>
    <w:lvl w:ilvl="8">
      <w:start w:val="1"/>
      <w:numFmt w:val="decimal"/>
      <w:lvlText w:val="%1"/>
      <w:lvlJc w:val="left"/>
      <w:pPr>
        <w:tabs>
          <w:tab w:val="num" w:pos="7920"/>
        </w:tabs>
        <w:ind w:left="7920" w:hanging="2160"/>
      </w:pPr>
      <w:rPr>
        <w:rFonts w:hint="default"/>
      </w:rPr>
    </w:lvl>
  </w:abstractNum>
  <w:abstractNum w:abstractNumId="2" w15:restartNumberingAfterBreak="0">
    <w:nsid w:val="0B893192"/>
    <w:multiLevelType w:val="hybridMultilevel"/>
    <w:tmpl w:val="E44E40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CB1D64"/>
    <w:multiLevelType w:val="hybridMultilevel"/>
    <w:tmpl w:val="2D94CC8C"/>
    <w:lvl w:ilvl="0" w:tplc="D0C49E2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D42941"/>
    <w:multiLevelType w:val="hybridMultilevel"/>
    <w:tmpl w:val="D7CAD9A8"/>
    <w:lvl w:ilvl="0" w:tplc="DC46E1B4">
      <w:start w:val="1"/>
      <w:numFmt w:val="decimal"/>
      <w:lvlText w:val="%1."/>
      <w:lvlJc w:val="left"/>
      <w:pPr>
        <w:tabs>
          <w:tab w:val="num" w:pos="720"/>
        </w:tabs>
        <w:ind w:left="720" w:hanging="360"/>
      </w:pPr>
      <w:rPr>
        <w:rFonts w:ascii="Arial" w:hAnsi="Arial" w:cs="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6A2E7F"/>
    <w:multiLevelType w:val="hybridMultilevel"/>
    <w:tmpl w:val="0BA2C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FB6FA3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83325"/>
    <w:multiLevelType w:val="hybridMultilevel"/>
    <w:tmpl w:val="01825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812B90"/>
    <w:multiLevelType w:val="hybridMultilevel"/>
    <w:tmpl w:val="367A2CDE"/>
    <w:lvl w:ilvl="0" w:tplc="8BFA9DD4">
      <w:start w:val="1"/>
      <w:numFmt w:val="lowerLetter"/>
      <w:lvlText w:val="%1)"/>
      <w:lvlJc w:val="left"/>
      <w:pPr>
        <w:ind w:left="1080" w:hanging="360"/>
      </w:pPr>
    </w:lvl>
    <w:lvl w:ilvl="1" w:tplc="459604FA">
      <w:start w:val="1"/>
      <w:numFmt w:val="lowerLetter"/>
      <w:lvlText w:val="%2)"/>
      <w:lvlJc w:val="left"/>
      <w:pPr>
        <w:ind w:left="1440" w:hanging="360"/>
      </w:pPr>
    </w:lvl>
    <w:lvl w:ilvl="2" w:tplc="515837DE">
      <w:start w:val="1"/>
      <w:numFmt w:val="lowerRoman"/>
      <w:lvlText w:val="%3)"/>
      <w:lvlJc w:val="left"/>
      <w:pPr>
        <w:ind w:left="1800" w:hanging="360"/>
      </w:pPr>
    </w:lvl>
    <w:lvl w:ilvl="3" w:tplc="AF6407C0">
      <w:start w:val="1"/>
      <w:numFmt w:val="decimal"/>
      <w:lvlText w:val="(%4)"/>
      <w:lvlJc w:val="left"/>
      <w:pPr>
        <w:ind w:left="2160" w:hanging="360"/>
      </w:pPr>
    </w:lvl>
    <w:lvl w:ilvl="4" w:tplc="984C3AE6">
      <w:start w:val="1"/>
      <w:numFmt w:val="lowerLetter"/>
      <w:lvlText w:val="(%5)"/>
      <w:lvlJc w:val="left"/>
      <w:pPr>
        <w:ind w:left="2520" w:hanging="360"/>
      </w:pPr>
    </w:lvl>
    <w:lvl w:ilvl="5" w:tplc="DA6E3744">
      <w:start w:val="1"/>
      <w:numFmt w:val="lowerRoman"/>
      <w:lvlText w:val="(%6)"/>
      <w:lvlJc w:val="left"/>
      <w:pPr>
        <w:ind w:left="2880" w:hanging="360"/>
      </w:pPr>
    </w:lvl>
    <w:lvl w:ilvl="6" w:tplc="9BBC04A4">
      <w:start w:val="1"/>
      <w:numFmt w:val="decimal"/>
      <w:lvlText w:val="%7."/>
      <w:lvlJc w:val="left"/>
      <w:pPr>
        <w:ind w:left="3240" w:hanging="360"/>
      </w:pPr>
    </w:lvl>
    <w:lvl w:ilvl="7" w:tplc="893E706C">
      <w:start w:val="1"/>
      <w:numFmt w:val="lowerLetter"/>
      <w:lvlText w:val="%8."/>
      <w:lvlJc w:val="left"/>
      <w:pPr>
        <w:ind w:left="3600" w:hanging="360"/>
      </w:pPr>
    </w:lvl>
    <w:lvl w:ilvl="8" w:tplc="67AEEBC6">
      <w:start w:val="1"/>
      <w:numFmt w:val="lowerRoman"/>
      <w:lvlText w:val="%9."/>
      <w:lvlJc w:val="left"/>
      <w:pPr>
        <w:ind w:left="3960" w:hanging="360"/>
      </w:pPr>
    </w:lvl>
  </w:abstractNum>
  <w:abstractNum w:abstractNumId="8" w15:restartNumberingAfterBreak="0">
    <w:nsid w:val="2D611266"/>
    <w:multiLevelType w:val="hybridMultilevel"/>
    <w:tmpl w:val="2EE6AE60"/>
    <w:lvl w:ilvl="0" w:tplc="4A227ECE">
      <w:start w:val="1"/>
      <w:numFmt w:val="bullet"/>
      <w:lvlText w:val=""/>
      <w:lvlJc w:val="left"/>
      <w:pPr>
        <w:tabs>
          <w:tab w:val="num" w:pos="720"/>
        </w:tabs>
        <w:ind w:left="720" w:hanging="360"/>
      </w:pPr>
      <w:rPr>
        <w:rFonts w:ascii="Symbol" w:hAnsi="Symbol" w:hint="default"/>
        <w:sz w:val="20"/>
      </w:rPr>
    </w:lvl>
    <w:lvl w:ilvl="1" w:tplc="3BC8EE7A" w:tentative="1">
      <w:start w:val="1"/>
      <w:numFmt w:val="bullet"/>
      <w:lvlText w:val="o"/>
      <w:lvlJc w:val="left"/>
      <w:pPr>
        <w:tabs>
          <w:tab w:val="num" w:pos="1440"/>
        </w:tabs>
        <w:ind w:left="1440" w:hanging="360"/>
      </w:pPr>
      <w:rPr>
        <w:rFonts w:ascii="Courier New" w:hAnsi="Courier New" w:hint="default"/>
        <w:sz w:val="20"/>
      </w:rPr>
    </w:lvl>
    <w:lvl w:ilvl="2" w:tplc="49803D3E" w:tentative="1">
      <w:start w:val="1"/>
      <w:numFmt w:val="bullet"/>
      <w:lvlText w:val=""/>
      <w:lvlJc w:val="left"/>
      <w:pPr>
        <w:tabs>
          <w:tab w:val="num" w:pos="2160"/>
        </w:tabs>
        <w:ind w:left="2160" w:hanging="360"/>
      </w:pPr>
      <w:rPr>
        <w:rFonts w:ascii="Wingdings" w:hAnsi="Wingdings" w:hint="default"/>
        <w:sz w:val="20"/>
      </w:rPr>
    </w:lvl>
    <w:lvl w:ilvl="3" w:tplc="0148679E" w:tentative="1">
      <w:start w:val="1"/>
      <w:numFmt w:val="bullet"/>
      <w:lvlText w:val=""/>
      <w:lvlJc w:val="left"/>
      <w:pPr>
        <w:tabs>
          <w:tab w:val="num" w:pos="2880"/>
        </w:tabs>
        <w:ind w:left="2880" w:hanging="360"/>
      </w:pPr>
      <w:rPr>
        <w:rFonts w:ascii="Wingdings" w:hAnsi="Wingdings" w:hint="default"/>
        <w:sz w:val="20"/>
      </w:rPr>
    </w:lvl>
    <w:lvl w:ilvl="4" w:tplc="B516AD5C" w:tentative="1">
      <w:start w:val="1"/>
      <w:numFmt w:val="bullet"/>
      <w:lvlText w:val=""/>
      <w:lvlJc w:val="left"/>
      <w:pPr>
        <w:tabs>
          <w:tab w:val="num" w:pos="3600"/>
        </w:tabs>
        <w:ind w:left="3600" w:hanging="360"/>
      </w:pPr>
      <w:rPr>
        <w:rFonts w:ascii="Wingdings" w:hAnsi="Wingdings" w:hint="default"/>
        <w:sz w:val="20"/>
      </w:rPr>
    </w:lvl>
    <w:lvl w:ilvl="5" w:tplc="531829FA" w:tentative="1">
      <w:start w:val="1"/>
      <w:numFmt w:val="bullet"/>
      <w:lvlText w:val=""/>
      <w:lvlJc w:val="left"/>
      <w:pPr>
        <w:tabs>
          <w:tab w:val="num" w:pos="4320"/>
        </w:tabs>
        <w:ind w:left="4320" w:hanging="360"/>
      </w:pPr>
      <w:rPr>
        <w:rFonts w:ascii="Wingdings" w:hAnsi="Wingdings" w:hint="default"/>
        <w:sz w:val="20"/>
      </w:rPr>
    </w:lvl>
    <w:lvl w:ilvl="6" w:tplc="D8CEDB74" w:tentative="1">
      <w:start w:val="1"/>
      <w:numFmt w:val="bullet"/>
      <w:lvlText w:val=""/>
      <w:lvlJc w:val="left"/>
      <w:pPr>
        <w:tabs>
          <w:tab w:val="num" w:pos="5040"/>
        </w:tabs>
        <w:ind w:left="5040" w:hanging="360"/>
      </w:pPr>
      <w:rPr>
        <w:rFonts w:ascii="Wingdings" w:hAnsi="Wingdings" w:hint="default"/>
        <w:sz w:val="20"/>
      </w:rPr>
    </w:lvl>
    <w:lvl w:ilvl="7" w:tplc="885EE80C" w:tentative="1">
      <w:start w:val="1"/>
      <w:numFmt w:val="bullet"/>
      <w:lvlText w:val=""/>
      <w:lvlJc w:val="left"/>
      <w:pPr>
        <w:tabs>
          <w:tab w:val="num" w:pos="5760"/>
        </w:tabs>
        <w:ind w:left="5760" w:hanging="360"/>
      </w:pPr>
      <w:rPr>
        <w:rFonts w:ascii="Wingdings" w:hAnsi="Wingdings" w:hint="default"/>
        <w:sz w:val="20"/>
      </w:rPr>
    </w:lvl>
    <w:lvl w:ilvl="8" w:tplc="DA3A8E8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1148E"/>
    <w:multiLevelType w:val="hybridMultilevel"/>
    <w:tmpl w:val="0248069A"/>
    <w:lvl w:ilvl="0" w:tplc="DC46E1B4">
      <w:start w:val="1"/>
      <w:numFmt w:val="decimal"/>
      <w:lvlText w:val="%1."/>
      <w:lvlJc w:val="left"/>
      <w:pPr>
        <w:tabs>
          <w:tab w:val="num" w:pos="720"/>
        </w:tabs>
        <w:ind w:left="720" w:hanging="360"/>
      </w:pPr>
      <w:rPr>
        <w:rFonts w:ascii="Arial" w:hAnsi="Arial" w:cs="Wingdings" w:hint="default"/>
      </w:rPr>
    </w:lvl>
    <w:lvl w:ilvl="1" w:tplc="95D206F0">
      <w:start w:val="1"/>
      <w:numFmt w:val="upperLetter"/>
      <w:lvlText w:val="%2."/>
      <w:lvlJc w:val="left"/>
      <w:pPr>
        <w:tabs>
          <w:tab w:val="num" w:pos="1440"/>
        </w:tabs>
        <w:ind w:left="1440" w:hanging="360"/>
      </w:pPr>
      <w:rPr>
        <w:rFonts w:hint="default"/>
      </w:r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6F094F"/>
    <w:multiLevelType w:val="hybridMultilevel"/>
    <w:tmpl w:val="98C0A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B6DB9"/>
    <w:multiLevelType w:val="hybridMultilevel"/>
    <w:tmpl w:val="3AF2AA44"/>
    <w:lvl w:ilvl="0" w:tplc="DC46E1B4">
      <w:start w:val="1"/>
      <w:numFmt w:val="decimal"/>
      <w:lvlText w:val="%1."/>
      <w:lvlJc w:val="left"/>
      <w:pPr>
        <w:tabs>
          <w:tab w:val="num" w:pos="720"/>
        </w:tabs>
        <w:ind w:left="720" w:hanging="360"/>
      </w:pPr>
      <w:rPr>
        <w:rFonts w:ascii="Arial" w:hAnsi="Arial" w:cs="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3C42A3"/>
    <w:multiLevelType w:val="hybridMultilevel"/>
    <w:tmpl w:val="A4A6FD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C470EC6"/>
    <w:multiLevelType w:val="hybridMultilevel"/>
    <w:tmpl w:val="F52091A6"/>
    <w:lvl w:ilvl="0" w:tplc="27BCD9F2">
      <w:start w:val="2"/>
      <w:numFmt w:val="decimal"/>
      <w:lvlText w:val="%1."/>
      <w:lvlJc w:val="left"/>
      <w:pPr>
        <w:tabs>
          <w:tab w:val="num" w:pos="720"/>
        </w:tabs>
        <w:ind w:left="720" w:hanging="360"/>
      </w:pPr>
      <w:rPr>
        <w:rFonts w:hint="default"/>
        <w:b w:val="0"/>
      </w:rPr>
    </w:lvl>
    <w:lvl w:ilvl="1" w:tplc="4A644A4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0B6FBA"/>
    <w:multiLevelType w:val="hybridMultilevel"/>
    <w:tmpl w:val="8642FD7E"/>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5" w15:restartNumberingAfterBreak="0">
    <w:nsid w:val="6D912C06"/>
    <w:multiLevelType w:val="hybridMultilevel"/>
    <w:tmpl w:val="49EEA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C178C"/>
    <w:multiLevelType w:val="hybridMultilevel"/>
    <w:tmpl w:val="05086C52"/>
    <w:lvl w:ilvl="0" w:tplc="7A0A5A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3D7560"/>
    <w:multiLevelType w:val="hybridMultilevel"/>
    <w:tmpl w:val="9BFA748C"/>
    <w:lvl w:ilvl="0" w:tplc="B25CEE1C">
      <w:start w:val="1"/>
      <w:numFmt w:val="decimal"/>
      <w:lvlText w:val="%1."/>
      <w:lvlJc w:val="left"/>
      <w:pPr>
        <w:tabs>
          <w:tab w:val="num" w:pos="1260"/>
        </w:tabs>
        <w:ind w:left="12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DD5A94"/>
    <w:multiLevelType w:val="hybridMultilevel"/>
    <w:tmpl w:val="5AF24D46"/>
    <w:lvl w:ilvl="0" w:tplc="A602395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E042C"/>
    <w:multiLevelType w:val="hybridMultilevel"/>
    <w:tmpl w:val="9868629C"/>
    <w:lvl w:ilvl="0" w:tplc="04090001">
      <w:start w:val="1"/>
      <w:numFmt w:val="bullet"/>
      <w:lvlText w:val=""/>
      <w:lvlJc w:val="left"/>
      <w:pPr>
        <w:tabs>
          <w:tab w:val="num" w:pos="1140"/>
        </w:tabs>
        <w:ind w:left="1140" w:hanging="360"/>
      </w:pPr>
      <w:rPr>
        <w:rFonts w:ascii="Symbol" w:hAnsi="Symbol" w:hint="default"/>
      </w:rPr>
    </w:lvl>
    <w:lvl w:ilvl="1" w:tplc="694C29F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16cid:durableId="320471470">
    <w:abstractNumId w:val="10"/>
  </w:num>
  <w:num w:numId="2" w16cid:durableId="1670328976">
    <w:abstractNumId w:val="5"/>
  </w:num>
  <w:num w:numId="3" w16cid:durableId="229509701">
    <w:abstractNumId w:val="15"/>
  </w:num>
  <w:num w:numId="4" w16cid:durableId="330379253">
    <w:abstractNumId w:val="1"/>
  </w:num>
  <w:num w:numId="5" w16cid:durableId="1912810023">
    <w:abstractNumId w:val="8"/>
  </w:num>
  <w:num w:numId="6" w16cid:durableId="1028989921">
    <w:abstractNumId w:val="14"/>
  </w:num>
  <w:num w:numId="7" w16cid:durableId="670253239">
    <w:abstractNumId w:val="19"/>
  </w:num>
  <w:num w:numId="8" w16cid:durableId="263196456">
    <w:abstractNumId w:val="7"/>
  </w:num>
  <w:num w:numId="9" w16cid:durableId="1429228085">
    <w:abstractNumId w:val="12"/>
  </w:num>
  <w:num w:numId="10" w16cid:durableId="638342816">
    <w:abstractNumId w:val="3"/>
  </w:num>
  <w:num w:numId="11" w16cid:durableId="812337165">
    <w:abstractNumId w:val="13"/>
  </w:num>
  <w:num w:numId="12" w16cid:durableId="674723675">
    <w:abstractNumId w:val="9"/>
  </w:num>
  <w:num w:numId="13" w16cid:durableId="81612044">
    <w:abstractNumId w:val="4"/>
  </w:num>
  <w:num w:numId="14" w16cid:durableId="1534461562">
    <w:abstractNumId w:val="16"/>
  </w:num>
  <w:num w:numId="15" w16cid:durableId="574127089">
    <w:abstractNumId w:val="0"/>
  </w:num>
  <w:num w:numId="16" w16cid:durableId="1442528278">
    <w:abstractNumId w:val="11"/>
  </w:num>
  <w:num w:numId="17" w16cid:durableId="337121937">
    <w:abstractNumId w:val="17"/>
  </w:num>
  <w:num w:numId="18" w16cid:durableId="240724552">
    <w:abstractNumId w:val="18"/>
  </w:num>
  <w:num w:numId="19" w16cid:durableId="433785844">
    <w:abstractNumId w:val="2"/>
  </w:num>
  <w:num w:numId="20" w16cid:durableId="193666915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51"/>
    <w:rsid w:val="0001383B"/>
    <w:rsid w:val="00017590"/>
    <w:rsid w:val="000238CB"/>
    <w:rsid w:val="00030166"/>
    <w:rsid w:val="000308B9"/>
    <w:rsid w:val="00041FD4"/>
    <w:rsid w:val="0004243E"/>
    <w:rsid w:val="0004609A"/>
    <w:rsid w:val="00046773"/>
    <w:rsid w:val="000508DD"/>
    <w:rsid w:val="000539E6"/>
    <w:rsid w:val="00054F9C"/>
    <w:rsid w:val="00061522"/>
    <w:rsid w:val="00063DB2"/>
    <w:rsid w:val="00065649"/>
    <w:rsid w:val="00072AAA"/>
    <w:rsid w:val="000754F1"/>
    <w:rsid w:val="00075766"/>
    <w:rsid w:val="000809F1"/>
    <w:rsid w:val="00082C48"/>
    <w:rsid w:val="000911BC"/>
    <w:rsid w:val="00093842"/>
    <w:rsid w:val="000943E5"/>
    <w:rsid w:val="000945DC"/>
    <w:rsid w:val="000A0D6E"/>
    <w:rsid w:val="000A190C"/>
    <w:rsid w:val="000A3A12"/>
    <w:rsid w:val="000A76FF"/>
    <w:rsid w:val="000B68C7"/>
    <w:rsid w:val="000C792C"/>
    <w:rsid w:val="000D116A"/>
    <w:rsid w:val="000F513F"/>
    <w:rsid w:val="000F7F37"/>
    <w:rsid w:val="001020FD"/>
    <w:rsid w:val="00102417"/>
    <w:rsid w:val="00121BD0"/>
    <w:rsid w:val="001239CD"/>
    <w:rsid w:val="00126CFB"/>
    <w:rsid w:val="00132506"/>
    <w:rsid w:val="00140D38"/>
    <w:rsid w:val="00143401"/>
    <w:rsid w:val="00152156"/>
    <w:rsid w:val="0015258A"/>
    <w:rsid w:val="00156118"/>
    <w:rsid w:val="00160F3F"/>
    <w:rsid w:val="00177EAD"/>
    <w:rsid w:val="00185F33"/>
    <w:rsid w:val="00186E32"/>
    <w:rsid w:val="001922F4"/>
    <w:rsid w:val="0019D705"/>
    <w:rsid w:val="001A16AA"/>
    <w:rsid w:val="001A7224"/>
    <w:rsid w:val="001A7AB9"/>
    <w:rsid w:val="001B3ED5"/>
    <w:rsid w:val="001D1C33"/>
    <w:rsid w:val="001D55A0"/>
    <w:rsid w:val="001D663B"/>
    <w:rsid w:val="001D7C2D"/>
    <w:rsid w:val="001E308E"/>
    <w:rsid w:val="001F4B37"/>
    <w:rsid w:val="00200436"/>
    <w:rsid w:val="00204FEC"/>
    <w:rsid w:val="0020574A"/>
    <w:rsid w:val="00210240"/>
    <w:rsid w:val="00212C43"/>
    <w:rsid w:val="00220CA7"/>
    <w:rsid w:val="00233435"/>
    <w:rsid w:val="00236199"/>
    <w:rsid w:val="00236FFE"/>
    <w:rsid w:val="00243A99"/>
    <w:rsid w:val="00245DA5"/>
    <w:rsid w:val="00251C30"/>
    <w:rsid w:val="0026386B"/>
    <w:rsid w:val="002736AF"/>
    <w:rsid w:val="00275192"/>
    <w:rsid w:val="002829AD"/>
    <w:rsid w:val="002851B9"/>
    <w:rsid w:val="00292FC2"/>
    <w:rsid w:val="002932C8"/>
    <w:rsid w:val="002A02D3"/>
    <w:rsid w:val="002C766E"/>
    <w:rsid w:val="002D1239"/>
    <w:rsid w:val="002D43D1"/>
    <w:rsid w:val="002D4E5D"/>
    <w:rsid w:val="002D7941"/>
    <w:rsid w:val="002F7ED6"/>
    <w:rsid w:val="003012D7"/>
    <w:rsid w:val="0030687E"/>
    <w:rsid w:val="003116F2"/>
    <w:rsid w:val="0032051C"/>
    <w:rsid w:val="00320795"/>
    <w:rsid w:val="003211B8"/>
    <w:rsid w:val="003220AE"/>
    <w:rsid w:val="00323CB5"/>
    <w:rsid w:val="00325860"/>
    <w:rsid w:val="00331F80"/>
    <w:rsid w:val="0033317C"/>
    <w:rsid w:val="003417A8"/>
    <w:rsid w:val="00353139"/>
    <w:rsid w:val="003559F4"/>
    <w:rsid w:val="00361758"/>
    <w:rsid w:val="00380CB4"/>
    <w:rsid w:val="003907B0"/>
    <w:rsid w:val="00392AE1"/>
    <w:rsid w:val="003957A7"/>
    <w:rsid w:val="003974C8"/>
    <w:rsid w:val="003A2EBF"/>
    <w:rsid w:val="003B3658"/>
    <w:rsid w:val="003B37BC"/>
    <w:rsid w:val="003B38BA"/>
    <w:rsid w:val="003C19EE"/>
    <w:rsid w:val="003C267F"/>
    <w:rsid w:val="003D15E9"/>
    <w:rsid w:val="003D5F60"/>
    <w:rsid w:val="003D6A81"/>
    <w:rsid w:val="003E315D"/>
    <w:rsid w:val="003E73B7"/>
    <w:rsid w:val="003F03AC"/>
    <w:rsid w:val="003F5A99"/>
    <w:rsid w:val="00411CF0"/>
    <w:rsid w:val="00414193"/>
    <w:rsid w:val="00415771"/>
    <w:rsid w:val="00416517"/>
    <w:rsid w:val="00416903"/>
    <w:rsid w:val="004200BF"/>
    <w:rsid w:val="0042249C"/>
    <w:rsid w:val="00427E86"/>
    <w:rsid w:val="0043365C"/>
    <w:rsid w:val="00440C3E"/>
    <w:rsid w:val="004429DC"/>
    <w:rsid w:val="00444DEC"/>
    <w:rsid w:val="00461266"/>
    <w:rsid w:val="00476B5C"/>
    <w:rsid w:val="00477669"/>
    <w:rsid w:val="00487F1C"/>
    <w:rsid w:val="004918C1"/>
    <w:rsid w:val="00493F9B"/>
    <w:rsid w:val="00495994"/>
    <w:rsid w:val="004A0518"/>
    <w:rsid w:val="004A1995"/>
    <w:rsid w:val="004B33E5"/>
    <w:rsid w:val="004B3B63"/>
    <w:rsid w:val="004C2EF4"/>
    <w:rsid w:val="004D0A70"/>
    <w:rsid w:val="004D17B5"/>
    <w:rsid w:val="004D4384"/>
    <w:rsid w:val="004D7951"/>
    <w:rsid w:val="004E055D"/>
    <w:rsid w:val="004F0B11"/>
    <w:rsid w:val="004F5228"/>
    <w:rsid w:val="00505336"/>
    <w:rsid w:val="00511D1E"/>
    <w:rsid w:val="0052184F"/>
    <w:rsid w:val="00523C60"/>
    <w:rsid w:val="00533217"/>
    <w:rsid w:val="005445BA"/>
    <w:rsid w:val="00554EEA"/>
    <w:rsid w:val="00571B18"/>
    <w:rsid w:val="00573F7D"/>
    <w:rsid w:val="00590260"/>
    <w:rsid w:val="005937BE"/>
    <w:rsid w:val="005A25AB"/>
    <w:rsid w:val="005B0B1B"/>
    <w:rsid w:val="005B3D5F"/>
    <w:rsid w:val="005B40B1"/>
    <w:rsid w:val="005C0645"/>
    <w:rsid w:val="005C3436"/>
    <w:rsid w:val="005C54C1"/>
    <w:rsid w:val="005C7786"/>
    <w:rsid w:val="005D0743"/>
    <w:rsid w:val="005D3194"/>
    <w:rsid w:val="005D35B1"/>
    <w:rsid w:val="005E7C9B"/>
    <w:rsid w:val="00600F7A"/>
    <w:rsid w:val="0061197C"/>
    <w:rsid w:val="00612743"/>
    <w:rsid w:val="00626E5A"/>
    <w:rsid w:val="00626FA9"/>
    <w:rsid w:val="00630E45"/>
    <w:rsid w:val="006347AA"/>
    <w:rsid w:val="00636912"/>
    <w:rsid w:val="00641EF0"/>
    <w:rsid w:val="00643DB3"/>
    <w:rsid w:val="006440D3"/>
    <w:rsid w:val="00645364"/>
    <w:rsid w:val="006456FF"/>
    <w:rsid w:val="0065388F"/>
    <w:rsid w:val="006566CA"/>
    <w:rsid w:val="00662759"/>
    <w:rsid w:val="00670541"/>
    <w:rsid w:val="006764C9"/>
    <w:rsid w:val="00680CCE"/>
    <w:rsid w:val="0068309C"/>
    <w:rsid w:val="006D2B85"/>
    <w:rsid w:val="006E0761"/>
    <w:rsid w:val="006F1FC5"/>
    <w:rsid w:val="0070003F"/>
    <w:rsid w:val="00704BF4"/>
    <w:rsid w:val="00704CBE"/>
    <w:rsid w:val="00710DAC"/>
    <w:rsid w:val="00714061"/>
    <w:rsid w:val="00722064"/>
    <w:rsid w:val="007223F0"/>
    <w:rsid w:val="007229BD"/>
    <w:rsid w:val="00727FAF"/>
    <w:rsid w:val="00731621"/>
    <w:rsid w:val="00741719"/>
    <w:rsid w:val="00744EBD"/>
    <w:rsid w:val="00746E06"/>
    <w:rsid w:val="00752D0F"/>
    <w:rsid w:val="007548E7"/>
    <w:rsid w:val="007557C8"/>
    <w:rsid w:val="007577B0"/>
    <w:rsid w:val="00757C56"/>
    <w:rsid w:val="00771FCA"/>
    <w:rsid w:val="007726A6"/>
    <w:rsid w:val="00776336"/>
    <w:rsid w:val="007A5995"/>
    <w:rsid w:val="007A67DC"/>
    <w:rsid w:val="007A7C1D"/>
    <w:rsid w:val="007B2793"/>
    <w:rsid w:val="007B292B"/>
    <w:rsid w:val="007B3F25"/>
    <w:rsid w:val="007B60EC"/>
    <w:rsid w:val="007C3061"/>
    <w:rsid w:val="007C5AA9"/>
    <w:rsid w:val="007C6412"/>
    <w:rsid w:val="007D5C7D"/>
    <w:rsid w:val="007F778D"/>
    <w:rsid w:val="0080072F"/>
    <w:rsid w:val="00801E89"/>
    <w:rsid w:val="00803B8C"/>
    <w:rsid w:val="008044C2"/>
    <w:rsid w:val="00806371"/>
    <w:rsid w:val="008068EB"/>
    <w:rsid w:val="00806A92"/>
    <w:rsid w:val="00810180"/>
    <w:rsid w:val="0081684E"/>
    <w:rsid w:val="00822635"/>
    <w:rsid w:val="00832146"/>
    <w:rsid w:val="008441E5"/>
    <w:rsid w:val="00850997"/>
    <w:rsid w:val="00851A69"/>
    <w:rsid w:val="00851B6A"/>
    <w:rsid w:val="00851C7F"/>
    <w:rsid w:val="00856DE9"/>
    <w:rsid w:val="0086308B"/>
    <w:rsid w:val="008662E5"/>
    <w:rsid w:val="00874EBE"/>
    <w:rsid w:val="00875993"/>
    <w:rsid w:val="008812AA"/>
    <w:rsid w:val="00881994"/>
    <w:rsid w:val="00885029"/>
    <w:rsid w:val="00886751"/>
    <w:rsid w:val="00887636"/>
    <w:rsid w:val="00894101"/>
    <w:rsid w:val="00894705"/>
    <w:rsid w:val="00895E42"/>
    <w:rsid w:val="008D52AE"/>
    <w:rsid w:val="008D63E1"/>
    <w:rsid w:val="008E00FD"/>
    <w:rsid w:val="008F246A"/>
    <w:rsid w:val="00903CA7"/>
    <w:rsid w:val="0090551D"/>
    <w:rsid w:val="00907A90"/>
    <w:rsid w:val="009160EB"/>
    <w:rsid w:val="009168DA"/>
    <w:rsid w:val="00925828"/>
    <w:rsid w:val="009269CF"/>
    <w:rsid w:val="00930BBB"/>
    <w:rsid w:val="00936859"/>
    <w:rsid w:val="00942813"/>
    <w:rsid w:val="00945799"/>
    <w:rsid w:val="00947808"/>
    <w:rsid w:val="009566F1"/>
    <w:rsid w:val="009646AA"/>
    <w:rsid w:val="00971D70"/>
    <w:rsid w:val="009A31DA"/>
    <w:rsid w:val="009A5617"/>
    <w:rsid w:val="009A62C5"/>
    <w:rsid w:val="009B2D79"/>
    <w:rsid w:val="009B4F67"/>
    <w:rsid w:val="009B604F"/>
    <w:rsid w:val="009C2135"/>
    <w:rsid w:val="009C3A6B"/>
    <w:rsid w:val="009C4DAB"/>
    <w:rsid w:val="009D138F"/>
    <w:rsid w:val="009D25FC"/>
    <w:rsid w:val="009E263E"/>
    <w:rsid w:val="009E2B32"/>
    <w:rsid w:val="009E765D"/>
    <w:rsid w:val="009F21E9"/>
    <w:rsid w:val="009F450B"/>
    <w:rsid w:val="00A030F6"/>
    <w:rsid w:val="00A05943"/>
    <w:rsid w:val="00A06C61"/>
    <w:rsid w:val="00A10126"/>
    <w:rsid w:val="00A2243F"/>
    <w:rsid w:val="00A24EDB"/>
    <w:rsid w:val="00A2729E"/>
    <w:rsid w:val="00A32E3C"/>
    <w:rsid w:val="00A47D3C"/>
    <w:rsid w:val="00A50657"/>
    <w:rsid w:val="00A51D05"/>
    <w:rsid w:val="00A55AC2"/>
    <w:rsid w:val="00A62540"/>
    <w:rsid w:val="00A71AAD"/>
    <w:rsid w:val="00A76EAB"/>
    <w:rsid w:val="00A93BDD"/>
    <w:rsid w:val="00A975FE"/>
    <w:rsid w:val="00AA3458"/>
    <w:rsid w:val="00AA7CC8"/>
    <w:rsid w:val="00AB0929"/>
    <w:rsid w:val="00AB0C29"/>
    <w:rsid w:val="00AC1554"/>
    <w:rsid w:val="00AC29A9"/>
    <w:rsid w:val="00AC7546"/>
    <w:rsid w:val="00AC757F"/>
    <w:rsid w:val="00AC7B76"/>
    <w:rsid w:val="00AD2CF6"/>
    <w:rsid w:val="00AE19D5"/>
    <w:rsid w:val="00AE4400"/>
    <w:rsid w:val="00AE6ACE"/>
    <w:rsid w:val="00B04BE3"/>
    <w:rsid w:val="00B13412"/>
    <w:rsid w:val="00B17C36"/>
    <w:rsid w:val="00B2343B"/>
    <w:rsid w:val="00B26041"/>
    <w:rsid w:val="00B40872"/>
    <w:rsid w:val="00B44489"/>
    <w:rsid w:val="00B45C3A"/>
    <w:rsid w:val="00B46251"/>
    <w:rsid w:val="00B50962"/>
    <w:rsid w:val="00B55F77"/>
    <w:rsid w:val="00B77F67"/>
    <w:rsid w:val="00B8195E"/>
    <w:rsid w:val="00B86D24"/>
    <w:rsid w:val="00B870CC"/>
    <w:rsid w:val="00B95985"/>
    <w:rsid w:val="00B96DC2"/>
    <w:rsid w:val="00BA0FE4"/>
    <w:rsid w:val="00BA48EB"/>
    <w:rsid w:val="00BA7F21"/>
    <w:rsid w:val="00BB4454"/>
    <w:rsid w:val="00BB61A5"/>
    <w:rsid w:val="00BD69A9"/>
    <w:rsid w:val="00BE2298"/>
    <w:rsid w:val="00BE3416"/>
    <w:rsid w:val="00BF1531"/>
    <w:rsid w:val="00BF26DE"/>
    <w:rsid w:val="00C03E75"/>
    <w:rsid w:val="00C10C33"/>
    <w:rsid w:val="00C1436C"/>
    <w:rsid w:val="00C16B0D"/>
    <w:rsid w:val="00C248A8"/>
    <w:rsid w:val="00C253EE"/>
    <w:rsid w:val="00C32AA4"/>
    <w:rsid w:val="00C43CB9"/>
    <w:rsid w:val="00C442F6"/>
    <w:rsid w:val="00C44AC3"/>
    <w:rsid w:val="00C56B52"/>
    <w:rsid w:val="00C60CFD"/>
    <w:rsid w:val="00C65D98"/>
    <w:rsid w:val="00C6675D"/>
    <w:rsid w:val="00C752F4"/>
    <w:rsid w:val="00C77CD6"/>
    <w:rsid w:val="00C8085F"/>
    <w:rsid w:val="00C97AFE"/>
    <w:rsid w:val="00CA5189"/>
    <w:rsid w:val="00CA7447"/>
    <w:rsid w:val="00CB0A3E"/>
    <w:rsid w:val="00CB6DD0"/>
    <w:rsid w:val="00CC22B4"/>
    <w:rsid w:val="00CC7AE5"/>
    <w:rsid w:val="00CD0768"/>
    <w:rsid w:val="00CE2C78"/>
    <w:rsid w:val="00CE6801"/>
    <w:rsid w:val="00CE79A5"/>
    <w:rsid w:val="00CF5C1D"/>
    <w:rsid w:val="00D02C14"/>
    <w:rsid w:val="00D0451B"/>
    <w:rsid w:val="00D11B44"/>
    <w:rsid w:val="00D14932"/>
    <w:rsid w:val="00D345A9"/>
    <w:rsid w:val="00D44143"/>
    <w:rsid w:val="00D46D77"/>
    <w:rsid w:val="00D51DE2"/>
    <w:rsid w:val="00D5408C"/>
    <w:rsid w:val="00D5614A"/>
    <w:rsid w:val="00D56A39"/>
    <w:rsid w:val="00D6067E"/>
    <w:rsid w:val="00D63DE6"/>
    <w:rsid w:val="00D80DF5"/>
    <w:rsid w:val="00D85B3D"/>
    <w:rsid w:val="00D87A22"/>
    <w:rsid w:val="00D92E06"/>
    <w:rsid w:val="00D97BC7"/>
    <w:rsid w:val="00DA56A7"/>
    <w:rsid w:val="00DB07F5"/>
    <w:rsid w:val="00DD1648"/>
    <w:rsid w:val="00DD2EE2"/>
    <w:rsid w:val="00DD3557"/>
    <w:rsid w:val="00DD75CA"/>
    <w:rsid w:val="00DE05B3"/>
    <w:rsid w:val="00DE080E"/>
    <w:rsid w:val="00DE60D4"/>
    <w:rsid w:val="00DF600F"/>
    <w:rsid w:val="00DF69FD"/>
    <w:rsid w:val="00E016AB"/>
    <w:rsid w:val="00E01C82"/>
    <w:rsid w:val="00E14EAB"/>
    <w:rsid w:val="00E17277"/>
    <w:rsid w:val="00E20042"/>
    <w:rsid w:val="00E22E83"/>
    <w:rsid w:val="00E2353A"/>
    <w:rsid w:val="00E241E8"/>
    <w:rsid w:val="00E24227"/>
    <w:rsid w:val="00E50FFF"/>
    <w:rsid w:val="00E51EB9"/>
    <w:rsid w:val="00E5349D"/>
    <w:rsid w:val="00E54E51"/>
    <w:rsid w:val="00E92030"/>
    <w:rsid w:val="00EA6506"/>
    <w:rsid w:val="00EC0318"/>
    <w:rsid w:val="00EC6944"/>
    <w:rsid w:val="00ED0023"/>
    <w:rsid w:val="00ED4CE2"/>
    <w:rsid w:val="00EF13A4"/>
    <w:rsid w:val="00EF443E"/>
    <w:rsid w:val="00F065D4"/>
    <w:rsid w:val="00F15868"/>
    <w:rsid w:val="00F161CE"/>
    <w:rsid w:val="00F17558"/>
    <w:rsid w:val="00F4121C"/>
    <w:rsid w:val="00F5248B"/>
    <w:rsid w:val="00F53B64"/>
    <w:rsid w:val="00F540AA"/>
    <w:rsid w:val="00F60EA5"/>
    <w:rsid w:val="00F615DE"/>
    <w:rsid w:val="00F66B87"/>
    <w:rsid w:val="00F7439C"/>
    <w:rsid w:val="00F74991"/>
    <w:rsid w:val="00FB160F"/>
    <w:rsid w:val="00FB755F"/>
    <w:rsid w:val="00FC09A5"/>
    <w:rsid w:val="00FC35BF"/>
    <w:rsid w:val="00FE09FA"/>
    <w:rsid w:val="00FF07FF"/>
    <w:rsid w:val="026AF345"/>
    <w:rsid w:val="02C048A4"/>
    <w:rsid w:val="0308D305"/>
    <w:rsid w:val="040851FC"/>
    <w:rsid w:val="046079C0"/>
    <w:rsid w:val="053D9914"/>
    <w:rsid w:val="05585F4F"/>
    <w:rsid w:val="062C282D"/>
    <w:rsid w:val="07C111BA"/>
    <w:rsid w:val="07D07D8C"/>
    <w:rsid w:val="0924EFDA"/>
    <w:rsid w:val="093677A7"/>
    <w:rsid w:val="0963C8EF"/>
    <w:rsid w:val="0A13C3E3"/>
    <w:rsid w:val="0B036389"/>
    <w:rsid w:val="0D444016"/>
    <w:rsid w:val="0D6DC655"/>
    <w:rsid w:val="0DF3A901"/>
    <w:rsid w:val="0F237D01"/>
    <w:rsid w:val="104DF1CF"/>
    <w:rsid w:val="128B589E"/>
    <w:rsid w:val="13E3E505"/>
    <w:rsid w:val="15F6A0B3"/>
    <w:rsid w:val="165162F7"/>
    <w:rsid w:val="16C6EC1C"/>
    <w:rsid w:val="176C00A9"/>
    <w:rsid w:val="181BBCE2"/>
    <w:rsid w:val="186718AF"/>
    <w:rsid w:val="1878AD3E"/>
    <w:rsid w:val="1913AF0C"/>
    <w:rsid w:val="19E57370"/>
    <w:rsid w:val="1A5D0C4D"/>
    <w:rsid w:val="1B18EE89"/>
    <w:rsid w:val="1B248C38"/>
    <w:rsid w:val="1B5CE2DB"/>
    <w:rsid w:val="1CB9E3C5"/>
    <w:rsid w:val="1EA62FA7"/>
    <w:rsid w:val="1FC9DE6B"/>
    <w:rsid w:val="207D5296"/>
    <w:rsid w:val="21160F46"/>
    <w:rsid w:val="2295B5F4"/>
    <w:rsid w:val="24A6A872"/>
    <w:rsid w:val="252D31B9"/>
    <w:rsid w:val="253D2C53"/>
    <w:rsid w:val="2551C99A"/>
    <w:rsid w:val="26611F83"/>
    <w:rsid w:val="27573096"/>
    <w:rsid w:val="295389CC"/>
    <w:rsid w:val="2A194EFF"/>
    <w:rsid w:val="2B918723"/>
    <w:rsid w:val="2BBDB9AF"/>
    <w:rsid w:val="2C78A8E0"/>
    <w:rsid w:val="2CB9D84D"/>
    <w:rsid w:val="2D64F625"/>
    <w:rsid w:val="2E479CE6"/>
    <w:rsid w:val="2F004985"/>
    <w:rsid w:val="2F00B249"/>
    <w:rsid w:val="2F6EC499"/>
    <w:rsid w:val="32D101D9"/>
    <w:rsid w:val="32D45BD8"/>
    <w:rsid w:val="3420EADF"/>
    <w:rsid w:val="36AA86EF"/>
    <w:rsid w:val="37097806"/>
    <w:rsid w:val="37AF5F17"/>
    <w:rsid w:val="384C838E"/>
    <w:rsid w:val="38A730F4"/>
    <w:rsid w:val="397D0104"/>
    <w:rsid w:val="3A351E76"/>
    <w:rsid w:val="3AB45B9B"/>
    <w:rsid w:val="3B21998F"/>
    <w:rsid w:val="3BA09B4C"/>
    <w:rsid w:val="3BE9BBD0"/>
    <w:rsid w:val="3BEF4233"/>
    <w:rsid w:val="3C9EC88D"/>
    <w:rsid w:val="3D6F0111"/>
    <w:rsid w:val="3DD5F4B0"/>
    <w:rsid w:val="3DDB8D70"/>
    <w:rsid w:val="40CE3231"/>
    <w:rsid w:val="41B0B8FB"/>
    <w:rsid w:val="44CDE140"/>
    <w:rsid w:val="44CEE083"/>
    <w:rsid w:val="450F8A30"/>
    <w:rsid w:val="45789B66"/>
    <w:rsid w:val="4608B6DD"/>
    <w:rsid w:val="479A258A"/>
    <w:rsid w:val="485C6D6B"/>
    <w:rsid w:val="488F0E5D"/>
    <w:rsid w:val="490B661C"/>
    <w:rsid w:val="495A17F9"/>
    <w:rsid w:val="49E52191"/>
    <w:rsid w:val="49FD7F88"/>
    <w:rsid w:val="4C6E6CAC"/>
    <w:rsid w:val="4CF75C97"/>
    <w:rsid w:val="4D108116"/>
    <w:rsid w:val="4D619827"/>
    <w:rsid w:val="4D897F73"/>
    <w:rsid w:val="4F4CE650"/>
    <w:rsid w:val="5138F86F"/>
    <w:rsid w:val="5153E19D"/>
    <w:rsid w:val="51645DBE"/>
    <w:rsid w:val="54CC8929"/>
    <w:rsid w:val="54CEE9D1"/>
    <w:rsid w:val="54DE377F"/>
    <w:rsid w:val="552FEF89"/>
    <w:rsid w:val="55FAAC72"/>
    <w:rsid w:val="56BB7E0E"/>
    <w:rsid w:val="5A2CFB44"/>
    <w:rsid w:val="5A8AA0C9"/>
    <w:rsid w:val="5ADEDA51"/>
    <w:rsid w:val="5BEBFB94"/>
    <w:rsid w:val="5CEF947B"/>
    <w:rsid w:val="5D7C7564"/>
    <w:rsid w:val="5EB96915"/>
    <w:rsid w:val="603BD4AB"/>
    <w:rsid w:val="607B8BD5"/>
    <w:rsid w:val="62E3A993"/>
    <w:rsid w:val="63D1385D"/>
    <w:rsid w:val="65AD6D78"/>
    <w:rsid w:val="677C2F51"/>
    <w:rsid w:val="6887DAD2"/>
    <w:rsid w:val="69163421"/>
    <w:rsid w:val="6A0E0083"/>
    <w:rsid w:val="6A37EF60"/>
    <w:rsid w:val="6ACD30C1"/>
    <w:rsid w:val="6C26CA59"/>
    <w:rsid w:val="6CE9740D"/>
    <w:rsid w:val="6EABB1BF"/>
    <w:rsid w:val="6EEF80A3"/>
    <w:rsid w:val="6F3136AE"/>
    <w:rsid w:val="6FA75A56"/>
    <w:rsid w:val="72A10E83"/>
    <w:rsid w:val="7325BB37"/>
    <w:rsid w:val="735D0479"/>
    <w:rsid w:val="755CA56A"/>
    <w:rsid w:val="7596E3A1"/>
    <w:rsid w:val="76379BFC"/>
    <w:rsid w:val="790A79E5"/>
    <w:rsid w:val="7914F5F6"/>
    <w:rsid w:val="792C57EB"/>
    <w:rsid w:val="794C8D43"/>
    <w:rsid w:val="7B535EE8"/>
    <w:rsid w:val="7B90F456"/>
    <w:rsid w:val="7BA4837C"/>
    <w:rsid w:val="7BDB248C"/>
    <w:rsid w:val="7C62C44E"/>
    <w:rsid w:val="7C62FC8E"/>
    <w:rsid w:val="7C97B031"/>
    <w:rsid w:val="7CF6C9C6"/>
    <w:rsid w:val="7DA0E074"/>
    <w:rsid w:val="7DA1F586"/>
    <w:rsid w:val="7DC87FCC"/>
    <w:rsid w:val="7E13014C"/>
    <w:rsid w:val="7E3BAAFD"/>
    <w:rsid w:val="7E781B9C"/>
    <w:rsid w:val="7F039099"/>
    <w:rsid w:val="7F27471E"/>
    <w:rsid w:val="7F41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50664"/>
  <w15:chartTrackingRefBased/>
  <w15:docId w15:val="{D66761C0-9919-4D1B-BF38-4C5B8328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E7"/>
    <w:rPr>
      <w:rFonts w:ascii="Arial" w:hAnsi="Arial"/>
    </w:rPr>
  </w:style>
  <w:style w:type="paragraph" w:styleId="Heading1">
    <w:name w:val="heading 1"/>
    <w:basedOn w:val="Normal"/>
    <w:next w:val="Normal"/>
    <w:link w:val="Heading1Char"/>
    <w:uiPriority w:val="9"/>
    <w:qFormat/>
    <w:rsid w:val="00B8195E"/>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8195E"/>
    <w:pPr>
      <w:keepNext/>
      <w:keepLines/>
      <w:spacing w:before="40" w:after="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7548E7"/>
    <w:pPr>
      <w:keepNext/>
      <w:keepLines/>
      <w:spacing w:before="40" w:after="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4E51"/>
    <w:pPr>
      <w:tabs>
        <w:tab w:val="center" w:pos="4680"/>
        <w:tab w:val="right" w:pos="9360"/>
      </w:tabs>
      <w:spacing w:after="0" w:line="240" w:lineRule="auto"/>
    </w:pPr>
  </w:style>
  <w:style w:type="character" w:customStyle="1" w:styleId="HeaderChar">
    <w:name w:val="Header Char"/>
    <w:basedOn w:val="DefaultParagraphFont"/>
    <w:link w:val="Header"/>
    <w:rsid w:val="00E54E51"/>
  </w:style>
  <w:style w:type="paragraph" w:styleId="Footer">
    <w:name w:val="footer"/>
    <w:basedOn w:val="Normal"/>
    <w:link w:val="FooterChar"/>
    <w:uiPriority w:val="99"/>
    <w:unhideWhenUsed/>
    <w:rsid w:val="00E54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51"/>
  </w:style>
  <w:style w:type="paragraph" w:styleId="BalloonText">
    <w:name w:val="Balloon Text"/>
    <w:basedOn w:val="Normal"/>
    <w:link w:val="BalloonTextChar"/>
    <w:uiPriority w:val="99"/>
    <w:semiHidden/>
    <w:unhideWhenUsed/>
    <w:rsid w:val="00643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B3"/>
    <w:rPr>
      <w:rFonts w:ascii="Segoe UI" w:hAnsi="Segoe UI" w:cs="Segoe UI"/>
      <w:sz w:val="18"/>
      <w:szCs w:val="18"/>
    </w:rPr>
  </w:style>
  <w:style w:type="paragraph" w:styleId="Title">
    <w:name w:val="Title"/>
    <w:basedOn w:val="Normal"/>
    <w:next w:val="Normal"/>
    <w:link w:val="TitleChar"/>
    <w:uiPriority w:val="10"/>
    <w:qFormat/>
    <w:rsid w:val="00746E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E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6E06"/>
    <w:rPr>
      <w:rFonts w:eastAsiaTheme="minorEastAsia"/>
      <w:color w:val="5A5A5A" w:themeColor="text1" w:themeTint="A5"/>
      <w:spacing w:val="15"/>
    </w:rPr>
  </w:style>
  <w:style w:type="paragraph" w:styleId="NoSpacing">
    <w:name w:val="No Spacing"/>
    <w:uiPriority w:val="1"/>
    <w:qFormat/>
    <w:rsid w:val="00746E06"/>
    <w:pPr>
      <w:spacing w:after="0" w:line="240" w:lineRule="auto"/>
    </w:pPr>
  </w:style>
  <w:style w:type="character" w:customStyle="1" w:styleId="Heading1Char">
    <w:name w:val="Heading 1 Char"/>
    <w:basedOn w:val="DefaultParagraphFont"/>
    <w:link w:val="Heading1"/>
    <w:uiPriority w:val="9"/>
    <w:rsid w:val="00B8195E"/>
    <w:rPr>
      <w:rFonts w:ascii="Arial" w:eastAsiaTheme="majorEastAsia" w:hAnsi="Arial" w:cstheme="majorBidi"/>
      <w:b/>
      <w:color w:val="2F5496" w:themeColor="accent1" w:themeShade="BF"/>
      <w:sz w:val="32"/>
      <w:szCs w:val="32"/>
    </w:rPr>
  </w:style>
  <w:style w:type="character" w:styleId="Strong">
    <w:name w:val="Strong"/>
    <w:basedOn w:val="DefaultParagraphFont"/>
    <w:uiPriority w:val="22"/>
    <w:qFormat/>
    <w:rsid w:val="003559F4"/>
    <w:rPr>
      <w:rFonts w:ascii="Arial" w:hAnsi="Arial"/>
      <w:b/>
      <w:bCs/>
      <w:sz w:val="24"/>
    </w:rPr>
  </w:style>
  <w:style w:type="character" w:customStyle="1" w:styleId="Heading2Char">
    <w:name w:val="Heading 2 Char"/>
    <w:basedOn w:val="DefaultParagraphFont"/>
    <w:link w:val="Heading2"/>
    <w:uiPriority w:val="9"/>
    <w:rsid w:val="00B8195E"/>
    <w:rPr>
      <w:rFonts w:ascii="Arial" w:eastAsiaTheme="majorEastAsia" w:hAnsi="Arial" w:cstheme="majorBidi"/>
      <w:b/>
      <w:color w:val="2F5496" w:themeColor="accent1" w:themeShade="BF"/>
      <w:sz w:val="24"/>
      <w:szCs w:val="26"/>
    </w:rPr>
  </w:style>
  <w:style w:type="character" w:customStyle="1" w:styleId="Heading3Char">
    <w:name w:val="Heading 3 Char"/>
    <w:basedOn w:val="DefaultParagraphFont"/>
    <w:link w:val="Heading3"/>
    <w:uiPriority w:val="9"/>
    <w:rsid w:val="007548E7"/>
    <w:rPr>
      <w:rFonts w:ascii="Arial" w:eastAsiaTheme="majorEastAsia" w:hAnsi="Arial" w:cstheme="majorBidi"/>
      <w:b/>
      <w:color w:val="1F3763" w:themeColor="accent1" w:themeShade="7F"/>
      <w:sz w:val="24"/>
      <w:szCs w:val="24"/>
    </w:rPr>
  </w:style>
  <w:style w:type="paragraph" w:styleId="ListParagraph">
    <w:name w:val="List Paragraph"/>
    <w:basedOn w:val="Normal"/>
    <w:uiPriority w:val="34"/>
    <w:qFormat/>
    <w:rsid w:val="008D52AE"/>
    <w:pPr>
      <w:ind w:left="720"/>
      <w:contextualSpacing/>
    </w:pPr>
  </w:style>
  <w:style w:type="character" w:styleId="Hyperlink">
    <w:name w:val="Hyperlink"/>
    <w:basedOn w:val="DefaultParagraphFont"/>
    <w:uiPriority w:val="99"/>
    <w:unhideWhenUsed/>
    <w:rsid w:val="00573F7D"/>
    <w:rPr>
      <w:color w:val="0563C1" w:themeColor="hyperlink"/>
      <w:u w:val="single"/>
    </w:rPr>
  </w:style>
  <w:style w:type="character" w:styleId="UnresolvedMention">
    <w:name w:val="Unresolved Mention"/>
    <w:basedOn w:val="DefaultParagraphFont"/>
    <w:uiPriority w:val="99"/>
    <w:semiHidden/>
    <w:unhideWhenUsed/>
    <w:rsid w:val="00573F7D"/>
    <w:rPr>
      <w:color w:val="605E5C"/>
      <w:shd w:val="clear" w:color="auto" w:fill="E1DFDD"/>
    </w:rPr>
  </w:style>
  <w:style w:type="table" w:styleId="TableGrid">
    <w:name w:val="Table Grid"/>
    <w:basedOn w:val="TableNormal"/>
    <w:uiPriority w:val="59"/>
    <w:rsid w:val="0088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8867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8867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BF1531"/>
    <w:pPr>
      <w:widowControl w:val="0"/>
      <w:autoSpaceDE w:val="0"/>
      <w:autoSpaceDN w:val="0"/>
      <w:adjustRightInd w:val="0"/>
      <w:spacing w:after="0" w:line="240" w:lineRule="auto"/>
    </w:pPr>
    <w:rPr>
      <w:rFonts w:ascii="Arial" w:eastAsia="Times" w:hAnsi="Arial" w:cs="Arial"/>
      <w:color w:val="000000"/>
      <w:sz w:val="24"/>
      <w:szCs w:val="24"/>
    </w:rPr>
  </w:style>
  <w:style w:type="numbering" w:customStyle="1" w:styleId="Style1">
    <w:name w:val="Style1"/>
    <w:uiPriority w:val="99"/>
    <w:rsid w:val="001F4B37"/>
    <w:pPr>
      <w:numPr>
        <w:numId w:val="4"/>
      </w:numPr>
    </w:pPr>
  </w:style>
  <w:style w:type="paragraph" w:customStyle="1" w:styleId="spaced">
    <w:name w:val="spaced"/>
    <w:basedOn w:val="Normal"/>
    <w:rsid w:val="00875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Grid-Accent31">
    <w:name w:val="Light Grid - Accent 31"/>
    <w:basedOn w:val="Normal"/>
    <w:uiPriority w:val="34"/>
    <w:qFormat/>
    <w:rsid w:val="000C792C"/>
    <w:pPr>
      <w:spacing w:after="0" w:line="240" w:lineRule="auto"/>
      <w:ind w:left="720"/>
      <w:contextualSpacing/>
    </w:pPr>
    <w:rPr>
      <w:rFonts w:ascii="Cambria" w:eastAsia="Cambria" w:hAnsi="Cambria" w:cs="Times New Roman"/>
      <w:sz w:val="24"/>
      <w:szCs w:val="24"/>
    </w:rPr>
  </w:style>
  <w:style w:type="paragraph" w:styleId="BodyText">
    <w:name w:val="Body Text"/>
    <w:basedOn w:val="Normal"/>
    <w:link w:val="BodyTextChar"/>
    <w:rsid w:val="000C792C"/>
    <w:pPr>
      <w:spacing w:after="0" w:line="240" w:lineRule="auto"/>
    </w:pPr>
    <w:rPr>
      <w:rFonts w:ascii="Times" w:eastAsia="Times" w:hAnsi="Times" w:cs="Times New Roman"/>
      <w:b/>
      <w:sz w:val="24"/>
      <w:szCs w:val="20"/>
    </w:rPr>
  </w:style>
  <w:style w:type="character" w:customStyle="1" w:styleId="BodyTextChar">
    <w:name w:val="Body Text Char"/>
    <w:basedOn w:val="DefaultParagraphFont"/>
    <w:link w:val="BodyText"/>
    <w:rsid w:val="000C792C"/>
    <w:rPr>
      <w:rFonts w:ascii="Times" w:eastAsia="Times" w:hAnsi="Times" w:cs="Times New Roman"/>
      <w:b/>
      <w:sz w:val="24"/>
      <w:szCs w:val="20"/>
    </w:rPr>
  </w:style>
  <w:style w:type="character" w:styleId="FollowedHyperlink">
    <w:name w:val="FollowedHyperlink"/>
    <w:basedOn w:val="DefaultParagraphFont"/>
    <w:uiPriority w:val="99"/>
    <w:semiHidden/>
    <w:unhideWhenUsed/>
    <w:rsid w:val="006D2B85"/>
    <w:rPr>
      <w:color w:val="954F72" w:themeColor="followedHyperlink"/>
      <w:u w:val="single"/>
    </w:rPr>
  </w:style>
  <w:style w:type="character" w:styleId="CommentReference">
    <w:name w:val="annotation reference"/>
    <w:basedOn w:val="DefaultParagraphFont"/>
    <w:uiPriority w:val="99"/>
    <w:semiHidden/>
    <w:unhideWhenUsed/>
    <w:rsid w:val="00063DB2"/>
    <w:rPr>
      <w:sz w:val="16"/>
      <w:szCs w:val="16"/>
    </w:rPr>
  </w:style>
  <w:style w:type="paragraph" w:styleId="CommentText">
    <w:name w:val="annotation text"/>
    <w:basedOn w:val="Normal"/>
    <w:link w:val="CommentTextChar"/>
    <w:uiPriority w:val="99"/>
    <w:semiHidden/>
    <w:unhideWhenUsed/>
    <w:rsid w:val="00063DB2"/>
    <w:pPr>
      <w:spacing w:line="240" w:lineRule="auto"/>
    </w:pPr>
    <w:rPr>
      <w:sz w:val="20"/>
      <w:szCs w:val="20"/>
    </w:rPr>
  </w:style>
  <w:style w:type="character" w:customStyle="1" w:styleId="CommentTextChar">
    <w:name w:val="Comment Text Char"/>
    <w:basedOn w:val="DefaultParagraphFont"/>
    <w:link w:val="CommentText"/>
    <w:uiPriority w:val="99"/>
    <w:semiHidden/>
    <w:rsid w:val="00063D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3DB2"/>
    <w:rPr>
      <w:b/>
      <w:bCs/>
    </w:rPr>
  </w:style>
  <w:style w:type="character" w:customStyle="1" w:styleId="CommentSubjectChar">
    <w:name w:val="Comment Subject Char"/>
    <w:basedOn w:val="CommentTextChar"/>
    <w:link w:val="CommentSubject"/>
    <w:uiPriority w:val="99"/>
    <w:semiHidden/>
    <w:rsid w:val="00063DB2"/>
    <w:rPr>
      <w:rFonts w:ascii="Arial" w:hAnsi="Arial"/>
      <w:b/>
      <w:bCs/>
      <w:sz w:val="20"/>
      <w:szCs w:val="20"/>
    </w:rPr>
  </w:style>
  <w:style w:type="character" w:styleId="HTMLTypewriter">
    <w:name w:val="HTML Typewriter"/>
    <w:rsid w:val="004A0518"/>
    <w:rPr>
      <w:rFonts w:ascii="Courier New" w:eastAsia="Times New Roman" w:hAnsi="Courier New" w:cs="Courier New"/>
      <w:sz w:val="24"/>
      <w:szCs w:val="24"/>
    </w:rPr>
  </w:style>
  <w:style w:type="character" w:customStyle="1" w:styleId="style141">
    <w:name w:val="style141"/>
    <w:rsid w:val="00641EF0"/>
    <w:rPr>
      <w:sz w:val="18"/>
      <w:szCs w:val="18"/>
    </w:rPr>
  </w:style>
  <w:style w:type="paragraph" w:styleId="BodyTextIndent">
    <w:name w:val="Body Text Indent"/>
    <w:basedOn w:val="Normal"/>
    <w:link w:val="BodyTextIndentChar"/>
    <w:uiPriority w:val="99"/>
    <w:semiHidden/>
    <w:unhideWhenUsed/>
    <w:rsid w:val="00710DAC"/>
    <w:pPr>
      <w:spacing w:after="120"/>
      <w:ind w:left="360"/>
    </w:pPr>
  </w:style>
  <w:style w:type="character" w:customStyle="1" w:styleId="BodyTextIndentChar">
    <w:name w:val="Body Text Indent Char"/>
    <w:basedOn w:val="DefaultParagraphFont"/>
    <w:link w:val="BodyTextIndent"/>
    <w:uiPriority w:val="99"/>
    <w:semiHidden/>
    <w:rsid w:val="00710DAC"/>
    <w:rPr>
      <w:rFonts w:ascii="Arial" w:hAnsi="Arial"/>
    </w:rPr>
  </w:style>
  <w:style w:type="character" w:styleId="PlaceholderText">
    <w:name w:val="Placeholder Text"/>
    <w:basedOn w:val="DefaultParagraphFont"/>
    <w:uiPriority w:val="99"/>
    <w:semiHidden/>
    <w:rsid w:val="002C766E"/>
    <w:rPr>
      <w:color w:val="808080"/>
    </w:rPr>
  </w:style>
  <w:style w:type="paragraph" w:styleId="Revision">
    <w:name w:val="Revision"/>
    <w:hidden/>
    <w:uiPriority w:val="99"/>
    <w:semiHidden/>
    <w:rsid w:val="002736AF"/>
    <w:pPr>
      <w:spacing w:after="0" w:line="240" w:lineRule="auto"/>
    </w:pPr>
    <w:rPr>
      <w:rFonts w:ascii="Arial" w:hAnsi="Arial"/>
    </w:rPr>
  </w:style>
  <w:style w:type="table" w:styleId="PlainTable4">
    <w:name w:val="Plain Table 4"/>
    <w:basedOn w:val="TableNormal"/>
    <w:uiPriority w:val="44"/>
    <w:rsid w:val="00FC09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8662E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070">
      <w:bodyDiv w:val="1"/>
      <w:marLeft w:val="0"/>
      <w:marRight w:val="0"/>
      <w:marTop w:val="0"/>
      <w:marBottom w:val="0"/>
      <w:divBdr>
        <w:top w:val="none" w:sz="0" w:space="0" w:color="auto"/>
        <w:left w:val="none" w:sz="0" w:space="0" w:color="auto"/>
        <w:bottom w:val="none" w:sz="0" w:space="0" w:color="auto"/>
        <w:right w:val="none" w:sz="0" w:space="0" w:color="auto"/>
      </w:divBdr>
    </w:div>
    <w:div w:id="625358132">
      <w:bodyDiv w:val="1"/>
      <w:marLeft w:val="0"/>
      <w:marRight w:val="0"/>
      <w:marTop w:val="0"/>
      <w:marBottom w:val="0"/>
      <w:divBdr>
        <w:top w:val="none" w:sz="0" w:space="0" w:color="auto"/>
        <w:left w:val="none" w:sz="0" w:space="0" w:color="auto"/>
        <w:bottom w:val="none" w:sz="0" w:space="0" w:color="auto"/>
        <w:right w:val="none" w:sz="0" w:space="0" w:color="auto"/>
      </w:divBdr>
    </w:div>
    <w:div w:id="17078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tytraining.nih.gov" TargetMode="External"/><Relationship Id="rId18" Type="http://schemas.openxmlformats.org/officeDocument/2006/relationships/hyperlink" Target="https://youtu.be/96-aZLom340" TargetMode="External"/><Relationship Id="rId26" Type="http://schemas.openxmlformats.org/officeDocument/2006/relationships/hyperlink" Target="http://www.cdc.gov/ncezid/dgmq/" TargetMode="External"/><Relationship Id="rId39" Type="http://schemas.openxmlformats.org/officeDocument/2006/relationships/hyperlink" Target="http://oma1.od.nih.gov/manualchapters/intramural/3015/" TargetMode="External"/><Relationship Id="rId21" Type="http://schemas.openxmlformats.org/officeDocument/2006/relationships/hyperlink" Target="https://policymanual.nih.gov/26101-38" TargetMode="External"/><Relationship Id="rId34" Type="http://schemas.openxmlformats.org/officeDocument/2006/relationships/image" Target="media/image3.gif"/><Relationship Id="rId42" Type="http://schemas.openxmlformats.org/officeDocument/2006/relationships/hyperlink" Target="http://oma1.od.nih.gov/manualchapters/intramural/3035/" TargetMode="External"/><Relationship Id="rId47" Type="http://schemas.openxmlformats.org/officeDocument/2006/relationships/hyperlink" Target="http://oma1.od.nih.gov/manualchapters/intramural/3044-2/" TargetMode="External"/><Relationship Id="rId50" Type="http://schemas.openxmlformats.org/officeDocument/2006/relationships/hyperlink" Target="https://www.cdc.gov/labs/BMBL.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orf.od.nih.gov/EnvironmentalProtection/WasteDisposal/Documents/NIH-Waste-Disposal-Guide-2022-508Ready.pdf" TargetMode="External"/><Relationship Id="rId25" Type="http://schemas.openxmlformats.org/officeDocument/2006/relationships/hyperlink" Target="https://policymanual.nih.gov/3043-1" TargetMode="External"/><Relationship Id="rId33" Type="http://schemas.openxmlformats.org/officeDocument/2006/relationships/hyperlink" Target="http://oma1.od.nih.gov/manualchapters/management/1340/" TargetMode="External"/><Relationship Id="rId38" Type="http://schemas.openxmlformats.org/officeDocument/2006/relationships/hyperlink" Target="http://oma1.od.nih.gov/manualchapters/intramural/3015/" TargetMode="External"/><Relationship Id="rId46" Type="http://schemas.openxmlformats.org/officeDocument/2006/relationships/hyperlink" Target="https://policymanual.nih.gov/3038"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manual.nih.gov/3038" TargetMode="External"/><Relationship Id="rId20" Type="http://schemas.openxmlformats.org/officeDocument/2006/relationships/hyperlink" Target="https://ors.od.nih.gov/sr/dohs/safety/laboratory/BioSafety/Pages/shipping_biological_material.aspx" TargetMode="External"/><Relationship Id="rId29" Type="http://schemas.openxmlformats.org/officeDocument/2006/relationships/hyperlink" Target="http://www.ott.nih.gov/" TargetMode="External"/><Relationship Id="rId41" Type="http://schemas.openxmlformats.org/officeDocument/2006/relationships/hyperlink" Target="http://oma1.od.nih.gov/manualchapters/intramural/3034/"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s.ors.nih.gov/" TargetMode="External"/><Relationship Id="rId24" Type="http://schemas.openxmlformats.org/officeDocument/2006/relationships/hyperlink" Target="https://policymanual.nih.gov/26101-42-F" TargetMode="External"/><Relationship Id="rId32" Type="http://schemas.openxmlformats.org/officeDocument/2006/relationships/hyperlink" Target="https://cm.ors.od.nih.gov/sr/dohs/Documents/occupational-health-and-safety-manual.pdf" TargetMode="External"/><Relationship Id="rId37" Type="http://schemas.openxmlformats.org/officeDocument/2006/relationships/hyperlink" Target="http://oma1.od.nih.gov/manualchapters/management/1340-1/" TargetMode="External"/><Relationship Id="rId40" Type="http://schemas.openxmlformats.org/officeDocument/2006/relationships/hyperlink" Target="http://oma1.od.nih.gov/manualchapters/intramural/3032/" TargetMode="External"/><Relationship Id="rId45" Type="http://schemas.openxmlformats.org/officeDocument/2006/relationships/hyperlink" Target="http://oma1.od.nih.gov/manualchapters/intramural/3037/" TargetMode="External"/><Relationship Id="rId53" Type="http://schemas.openxmlformats.org/officeDocument/2006/relationships/hyperlink" Target="https://ors.od.nih.gov/sr/dohs/Documents/exposure-control-plan.pdf"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rf.od.nih.gov/EnvironmentalProtection/WasteDisposal/Documents/NIH-Waste-Disposal-Guide-2022-508Ready.pdf" TargetMode="External"/><Relationship Id="rId23" Type="http://schemas.openxmlformats.org/officeDocument/2006/relationships/hyperlink" Target="https://policymanual.nih.gov/26101-42-F" TargetMode="External"/><Relationship Id="rId28" Type="http://schemas.openxmlformats.org/officeDocument/2006/relationships/hyperlink" Target="https://policymanual.nih.gov/3044-1" TargetMode="External"/><Relationship Id="rId36" Type="http://schemas.openxmlformats.org/officeDocument/2006/relationships/hyperlink" Target="http://oma1.od.nih.gov/manualchapters/management/1340-1/" TargetMode="External"/><Relationship Id="rId49" Type="http://schemas.openxmlformats.org/officeDocument/2006/relationships/image" Target="media/image4.gif"/><Relationship Id="rId57"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rs.od.nih.gov/sr/dohs/Documents/moving-your-lab-safely.pdf" TargetMode="External"/><Relationship Id="rId31" Type="http://schemas.openxmlformats.org/officeDocument/2006/relationships/image" Target="media/image2.png"/><Relationship Id="rId44" Type="http://schemas.openxmlformats.org/officeDocument/2006/relationships/hyperlink" Target="http://oma1.od.nih.gov/manualchapters/intramural/3037/" TargetMode="External"/><Relationship Id="rId52" Type="http://schemas.openxmlformats.org/officeDocument/2006/relationships/hyperlink" Target="http://www.ecfr.gov/cgi-bin/retrieveECFR?gp=&amp;SID=8a4be60456973b5ec6bef5dfeaffd49a&amp;r=PART&amp;n=42y1.0.1.6.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s.od.nih.gov/sr/dohs/safety/laboratory/Pages/safety_health_specialists.aspx" TargetMode="External"/><Relationship Id="rId22" Type="http://schemas.openxmlformats.org/officeDocument/2006/relationships/hyperlink" Target="https://www.ecfr.gov/cgi-bin/text-idx?SID=6f7c53ffa8d511cb82382626e59ae894&amp;mc=true&amp;tpl=/ecfrbrowse/Title49/49CIsubchapC.tpl" TargetMode="External"/><Relationship Id="rId27" Type="http://schemas.openxmlformats.org/officeDocument/2006/relationships/hyperlink" Target="http://www.ecfr.gov/cgi-bin/retrieveECFR?gp&amp;amp;SID=d3b2601d7e1cee8a6fe0f81eba5533a0&amp;amp;r=PART&amp;amp;n=42y1.0.1.6.59&amp;amp;42%3A1.0.1.6.59.6.19.4" TargetMode="External"/><Relationship Id="rId30" Type="http://schemas.openxmlformats.org/officeDocument/2006/relationships/hyperlink" Target="https://www.ors.od.nih.gov/sr/dohs/Documents/NIH%20Occupational%20Health%20and%20Safety%20Manual.pdf" TargetMode="External"/><Relationship Id="rId35" Type="http://schemas.openxmlformats.org/officeDocument/2006/relationships/hyperlink" Target="http://oma1.od.nih.gov/manualchapters/management/1340/" TargetMode="External"/><Relationship Id="rId43" Type="http://schemas.openxmlformats.org/officeDocument/2006/relationships/hyperlink" Target="http://oma1.od.nih.gov/manualchapters/intramural/3035/" TargetMode="External"/><Relationship Id="rId48" Type="http://schemas.openxmlformats.org/officeDocument/2006/relationships/hyperlink" Target="http://www.orf.od.nih.gov/EnvironmentalProtection/WasteDisposal/Pages/default.aspx"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ecfr.gov/current/title-42/chapter-I/subchapter-F/part-73?toc=1"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70182D86B40E4BA4A8C12F0C3602AA" ma:contentTypeVersion="2" ma:contentTypeDescription="Create a new document." ma:contentTypeScope="" ma:versionID="1af95ec8deeaa3aa39466cc566ed0d66">
  <xsd:schema xmlns:xsd="http://www.w3.org/2001/XMLSchema" xmlns:xs="http://www.w3.org/2001/XMLSchema" xmlns:p="http://schemas.microsoft.com/office/2006/metadata/properties" xmlns:ns1="http://schemas.microsoft.com/sharepoint/v3" targetNamespace="http://schemas.microsoft.com/office/2006/metadata/properties" ma:root="true" ma:fieldsID="c25ca4095e7c8ab063953265c919d05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FEEA-15D8-4E8F-B7D3-E41F260C0DF6}">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F6A2993-8199-43F0-9290-785412D97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05EB0-7148-449E-9F33-8AAB1DAF02BE}">
  <ds:schemaRefs>
    <ds:schemaRef ds:uri="http://schemas.microsoft.com/sharepoint/v3/contenttype/forms"/>
  </ds:schemaRefs>
</ds:datastoreItem>
</file>

<file path=customXml/itemProps4.xml><?xml version="1.0" encoding="utf-8"?>
<ds:datastoreItem xmlns:ds="http://schemas.openxmlformats.org/officeDocument/2006/customXml" ds:itemID="{0B63FCA5-0478-4E00-B6D0-EE4C146E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6752</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Biological Safety Manual</vt:lpstr>
    </vt:vector>
  </TitlesOfParts>
  <Manager>DOHS/SOSB</Manager>
  <Company>National Institutes of Health</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Safety Manual</dc:title>
  <dc:subject>BSL-2/3 Manual</dc:subject>
  <dc:creator>DOHS</dc:creator>
  <cp:keywords>Safety, BSL, PRD</cp:keywords>
  <dc:description>508c</dc:description>
  <cp:lastModifiedBy>Dobson, Delores (NIH/OD/ORS) [E]</cp:lastModifiedBy>
  <cp:revision>8</cp:revision>
  <cp:lastPrinted>2021-03-06T00:18:00Z</cp:lastPrinted>
  <dcterms:created xsi:type="dcterms:W3CDTF">2023-05-03T14:33:00Z</dcterms:created>
  <dcterms:modified xsi:type="dcterms:W3CDTF">2023-06-22T17:18:00Z</dcterms:modified>
  <cp:category>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0x0101009A70182D86B40E4BA4A8C12F0C3602AA</vt:lpwstr>
  </property>
  <property fmtid="{D5CDD505-2E9C-101B-9397-08002B2CF9AE}" pid="3" name="Language">
    <vt:lpwstr>English</vt:lpwstr>
  </property>
</Properties>
</file>